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1D0F" w:rsidRDefault="001F5A61" w:rsidP="001528A6">
      <w:pPr>
        <w:jc w:val="both"/>
      </w:pPr>
      <w:r w:rsidRPr="001F5A61">
        <w:t xml:space="preserve">The aim of the research proposed by "TISCH: Terahertz Imaging and Spectroscopy in Cultural Heritage" </w:t>
      </w:r>
      <w:r>
        <w:t>was</w:t>
      </w:r>
      <w:r w:rsidRPr="001F5A61">
        <w:t xml:space="preserve"> to </w:t>
      </w:r>
      <w:r>
        <w:t>develop</w:t>
      </w:r>
      <w:r w:rsidRPr="001F5A61">
        <w:t xml:space="preserve"> terahertz imaging and spectroscopy as a viable, non-invasive tool for the </w:t>
      </w:r>
      <w:r>
        <w:t xml:space="preserve">nondestructive evaluation of historical </w:t>
      </w:r>
      <w:r w:rsidR="006B6FBE">
        <w:t>artwork</w:t>
      </w:r>
      <w:r>
        <w:t xml:space="preserve"> and artifacts. This Marie Curie Intra-European Fellowship for Career Development was carried out from February 2014 through February 2016</w:t>
      </w:r>
      <w:r w:rsidRPr="001F5A61">
        <w:t xml:space="preserve"> </w:t>
      </w:r>
      <w:r w:rsidR="00206599">
        <w:t xml:space="preserve">by Dr. J Bianca Jackson </w:t>
      </w:r>
      <w:r>
        <w:t>at the University of Reading’s School of Systems Engineering, in Reading, UK.</w:t>
      </w:r>
      <w:r w:rsidR="006B6FBE">
        <w:t xml:space="preserve"> This project utilized continuous wave (CW) measurements, dispersive Fourier transform spectroscopy (DFTS), and time-domain terahertz spectroscopy</w:t>
      </w:r>
      <w:r w:rsidR="00B36A62">
        <w:t xml:space="preserve"> </w:t>
      </w:r>
      <w:r w:rsidR="00B36A62" w:rsidRPr="00B36A62">
        <w:t>(TDS)</w:t>
      </w:r>
      <w:bookmarkStart w:id="0" w:name="_GoBack"/>
      <w:bookmarkEnd w:id="0"/>
      <w:r w:rsidR="006B6FBE">
        <w:t xml:space="preserve">. We collaborated on several projects with British churches and museums, a French cultural heritage research institute, and an </w:t>
      </w:r>
      <w:r w:rsidR="00D54384">
        <w:t>Italian business. Results have been published in international journals and presented at several international conferences.</w:t>
      </w:r>
    </w:p>
    <w:p w:rsidR="00D54384" w:rsidRDefault="00D54384" w:rsidP="001528A6">
      <w:pPr>
        <w:jc w:val="both"/>
      </w:pPr>
    </w:p>
    <w:p w:rsidR="00D54384" w:rsidRPr="00D54384" w:rsidRDefault="00424187" w:rsidP="001528A6">
      <w:pPr>
        <w:jc w:val="both"/>
        <w:rPr>
          <w:smallCaps/>
          <w:u w:val="single"/>
        </w:rPr>
      </w:pPr>
      <w:r>
        <w:rPr>
          <w:noProof/>
        </w:rPr>
        <w:pict>
          <v:group id="_x0000_s1030" style="position:absolute;left:0;text-align:left;margin-left:0;margin-top:22.3pt;width:428.05pt;height:108.05pt;z-index:251662336;mso-position-horizontal:center" coordorigin="1853,5104" coordsize="8561,2161"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5175;top:5105;width:5239;height:2160;mso-position-horizontal-relative:text;mso-position-vertical-relative:text">
              <v:imagedata r:id="rId5" o:title="Zones 7-9(dt=0"/>
            </v:shape>
            <v:shape id="_x0000_s1026" type="#_x0000_t75" style="position:absolute;left:1853;top:5104;width:3251;height:2160;mso-position-horizontal-relative:text;mso-position-vertical-relative:text">
              <v:imagedata r:id="rId6" o:title="DSC03121"/>
            </v:shape>
            <w10:wrap type="square"/>
          </v:group>
        </w:pict>
      </w:r>
      <w:proofErr w:type="spellStart"/>
      <w:r w:rsidR="00D54384" w:rsidRPr="00D54384">
        <w:rPr>
          <w:smallCaps/>
          <w:u w:val="single"/>
        </w:rPr>
        <w:t>Wallpaintings</w:t>
      </w:r>
      <w:proofErr w:type="spellEnd"/>
    </w:p>
    <w:p w:rsidR="00297B25" w:rsidRDefault="00266E76" w:rsidP="001528A6">
      <w:pPr>
        <w:jc w:val="both"/>
      </w:pPr>
      <w:r w:rsidRPr="00266E76">
        <w:t>Dr. Jackson took THz time-domain measurements at the Church of Sain</w:t>
      </w:r>
      <w:r w:rsidR="00541EF7">
        <w:t>t Mary-Chalgrove, Oxfor</w:t>
      </w:r>
      <w:r w:rsidR="00500EB7">
        <w:t>d</w:t>
      </w:r>
      <w:r w:rsidR="00541EF7">
        <w:t>shire UK</w:t>
      </w:r>
      <w:r w:rsidRPr="00266E76">
        <w:t xml:space="preserve">. We were invited by Charles Baker, chairman of the church’s building advisory committee to look for a 12th C motif beneath 13th, 18th and 19th C layers. The church was under the restoration process, </w:t>
      </w:r>
      <w:r w:rsidR="001737BE">
        <w:t>and t</w:t>
      </w:r>
      <w:r w:rsidRPr="00266E76">
        <w:t xml:space="preserve">he THz group from </w:t>
      </w:r>
      <w:proofErr w:type="spellStart"/>
      <w:r w:rsidR="001737BE">
        <w:t>Laboratoire</w:t>
      </w:r>
      <w:proofErr w:type="spellEnd"/>
      <w:r w:rsidR="001737BE">
        <w:t xml:space="preserve"> de Recherche des Monuments </w:t>
      </w:r>
      <w:proofErr w:type="spellStart"/>
      <w:r w:rsidR="001737BE">
        <w:t>Historiques</w:t>
      </w:r>
      <w:proofErr w:type="spellEnd"/>
      <w:r w:rsidRPr="00266E76">
        <w:t xml:space="preserve"> </w:t>
      </w:r>
      <w:r w:rsidR="001737BE">
        <w:t xml:space="preserve">(LRMH) </w:t>
      </w:r>
      <w:r w:rsidRPr="00266E76">
        <w:t xml:space="preserve">was invited to help by bringing their THz-TDSI scanner. We scanned several areas, subdividing sections to manually correct the focus to compensate for the uneven wall surface. In post-processing, Dr. Jackson found layers several </w:t>
      </w:r>
      <w:r w:rsidR="000D225B" w:rsidRPr="00266E76">
        <w:t>millimeters</w:t>
      </w:r>
      <w:r w:rsidRPr="00266E76">
        <w:t xml:space="preserve"> beneath the surface</w:t>
      </w:r>
      <w:r w:rsidR="001737BE">
        <w:t>, including what may have been a medieval metal latch</w:t>
      </w:r>
      <w:r w:rsidRPr="00266E76">
        <w:t xml:space="preserve">. </w:t>
      </w:r>
    </w:p>
    <w:p w:rsidR="00541EF7" w:rsidRDefault="00541EF7" w:rsidP="001528A6">
      <w:pPr>
        <w:jc w:val="both"/>
      </w:pPr>
    </w:p>
    <w:p w:rsidR="00297B25" w:rsidRDefault="00297B25" w:rsidP="001528A6">
      <w:pPr>
        <w:jc w:val="both"/>
      </w:pPr>
      <w:r w:rsidRPr="00297B25">
        <w:t xml:space="preserve">Dr. Jackson </w:t>
      </w:r>
      <w:r w:rsidR="001737BE">
        <w:t>and the LRMH also examined the fresco “</w:t>
      </w:r>
      <w:r w:rsidR="001737BE" w:rsidRPr="001737BE">
        <w:t xml:space="preserve">Les Trois Hommes </w:t>
      </w:r>
      <w:proofErr w:type="spellStart"/>
      <w:r w:rsidR="001737BE" w:rsidRPr="001737BE">
        <w:t>Armés</w:t>
      </w:r>
      <w:proofErr w:type="spellEnd"/>
      <w:r w:rsidR="001737BE" w:rsidRPr="001737BE">
        <w:t xml:space="preserve"> de Lances</w:t>
      </w:r>
      <w:r w:rsidR="001737BE">
        <w:t>” twice,</w:t>
      </w:r>
      <w:r w:rsidRPr="00297B25">
        <w:t xml:space="preserve"> getting different results. </w:t>
      </w:r>
      <w:r w:rsidR="001737BE">
        <w:t>We</w:t>
      </w:r>
      <w:r w:rsidRPr="00297B25">
        <w:t xml:space="preserve"> reasoned that the only material difference between the scans was that the fresco was </w:t>
      </w:r>
      <w:r w:rsidR="001737BE">
        <w:t>presence of</w:t>
      </w:r>
      <w:r w:rsidRPr="00297B25">
        <w:t xml:space="preserve"> a volatile binding medium called cyclododecane (CDD).</w:t>
      </w:r>
      <w:r w:rsidR="001737BE">
        <w:t xml:space="preserve"> We studied different forms of CDD </w:t>
      </w:r>
      <w:r w:rsidR="003538A6">
        <w:t xml:space="preserve">using DFTS </w:t>
      </w:r>
      <w:r w:rsidR="001737BE">
        <w:t>and determined that it may act as a contrast-enhancing, index-matching</w:t>
      </w:r>
      <w:r w:rsidR="003538A6">
        <w:t>, anti-scattering</w:t>
      </w:r>
      <w:r w:rsidR="001737BE">
        <w:t xml:space="preserve"> compound for porous media.</w:t>
      </w:r>
      <w:r w:rsidR="003538A6">
        <w:t xml:space="preserve"> One of the benefits of this substance is that is popular among heritage conservators since it sublimes entirely without residue or material interaction.</w:t>
      </w:r>
    </w:p>
    <w:p w:rsidR="003538A6" w:rsidRDefault="003538A6" w:rsidP="001528A6">
      <w:pPr>
        <w:jc w:val="both"/>
      </w:pPr>
    </w:p>
    <w:p w:rsidR="003538A6" w:rsidRPr="003538A6" w:rsidRDefault="003538A6" w:rsidP="001528A6">
      <w:pPr>
        <w:jc w:val="both"/>
        <w:rPr>
          <w:smallCaps/>
          <w:u w:val="single"/>
        </w:rPr>
      </w:pPr>
      <w:r w:rsidRPr="003538A6">
        <w:rPr>
          <w:smallCaps/>
          <w:u w:val="single"/>
        </w:rPr>
        <w:t>Panel Paintings</w:t>
      </w:r>
    </w:p>
    <w:p w:rsidR="003538A6" w:rsidRDefault="003538A6" w:rsidP="001528A6">
      <w:pPr>
        <w:jc w:val="both"/>
      </w:pPr>
      <w:r w:rsidRPr="003538A6">
        <w:t xml:space="preserve">Dr. Jackson was invited by Marcello Melis of </w:t>
      </w:r>
      <w:proofErr w:type="spellStart"/>
      <w:r w:rsidRPr="003538A6">
        <w:t>Profilocolore</w:t>
      </w:r>
      <w:proofErr w:type="spellEnd"/>
      <w:r w:rsidRPr="003538A6">
        <w:t xml:space="preserve"> </w:t>
      </w:r>
      <w:proofErr w:type="spellStart"/>
      <w:r w:rsidRPr="003538A6">
        <w:t>Srl</w:t>
      </w:r>
      <w:proofErr w:type="spellEnd"/>
      <w:r w:rsidRPr="003538A6">
        <w:t xml:space="preserve"> to use THz-</w:t>
      </w:r>
      <w:r w:rsidR="00F34842">
        <w:t>TDS to investigate his painting</w:t>
      </w:r>
      <w:r w:rsidRPr="003538A6">
        <w:t xml:space="preserve"> </w:t>
      </w:r>
      <w:r>
        <w:t xml:space="preserve">“After Fishing” by </w:t>
      </w:r>
      <w:proofErr w:type="spellStart"/>
      <w:r>
        <w:t>Ausonio</w:t>
      </w:r>
      <w:proofErr w:type="spellEnd"/>
      <w:r>
        <w:t xml:space="preserve"> Tanda. </w:t>
      </w:r>
      <w:r w:rsidRPr="003538A6">
        <w:t xml:space="preserve">He had already performed hyperspectral measurements and was developing software for principle component analysis (PCA) with image fusion. The painting </w:t>
      </w:r>
      <w:r>
        <w:t xml:space="preserve">was scanned </w:t>
      </w:r>
      <w:r w:rsidRPr="003538A6">
        <w:t xml:space="preserve">completely in both transmission and reflection configurations, and images </w:t>
      </w:r>
      <w:r>
        <w:t xml:space="preserve">were </w:t>
      </w:r>
      <w:r w:rsidRPr="003538A6">
        <w:t>generate</w:t>
      </w:r>
      <w:r>
        <w:t>d</w:t>
      </w:r>
      <w:r w:rsidRPr="003538A6">
        <w:t xml:space="preserve"> based on temporal and spectral information. Those images </w:t>
      </w:r>
      <w:r>
        <w:t>were</w:t>
      </w:r>
      <w:r w:rsidRPr="003538A6">
        <w:t xml:space="preserve"> then imported into the software and processed in </w:t>
      </w:r>
      <w:r w:rsidRPr="003538A6">
        <w:lastRenderedPageBreak/>
        <w:t>a similar fashion to the hyperspectral images. PCA and image fusion enable</w:t>
      </w:r>
      <w:r w:rsidR="00541EF7">
        <w:t>s</w:t>
      </w:r>
      <w:r w:rsidRPr="003538A6">
        <w:t xml:space="preserve"> interpretation of the THz data in ways that correlate with the hyperspectral data.</w:t>
      </w:r>
      <w:r w:rsidR="00F34842">
        <w:t xml:space="preserve"> Terahertz imaging was able identify defects below the painting surface that were not detectable using any of the other techniques.</w:t>
      </w:r>
    </w:p>
    <w:p w:rsidR="00541EF7" w:rsidRDefault="00541EF7" w:rsidP="001528A6">
      <w:pPr>
        <w:jc w:val="both"/>
      </w:pPr>
    </w:p>
    <w:p w:rsidR="00541EF7" w:rsidRPr="00E92A96" w:rsidRDefault="00E92A96" w:rsidP="001528A6">
      <w:pPr>
        <w:jc w:val="both"/>
        <w:rPr>
          <w:smallCaps/>
          <w:u w:val="single"/>
        </w:rPr>
      </w:pPr>
      <w:r w:rsidRPr="00E92A96">
        <w:rPr>
          <w:smallCaps/>
          <w:u w:val="single"/>
        </w:rPr>
        <w:t>Ceramics</w:t>
      </w:r>
    </w:p>
    <w:p w:rsidR="00E92A96" w:rsidRDefault="00C733B3" w:rsidP="001528A6">
      <w:pPr>
        <w:jc w:val="both"/>
      </w:pPr>
      <w:r>
        <w:t>The Tate Museum’s Conservation Laboratory approached us to determine whether terahertz could be used to monitor outdoor ceramic sculptures vulnerable to the wet climate because of their porosity. Dr. Jackson performed feasibility studies on sets of glazed ceramic tiles using DFTS and a 0.09 THz Gunn oscillator. We determined that transmission between 0.1 and 1.0 THz was less than 10% for dry specimen, therefore only high power broadband sources could be used for large sculptures. Using the CW 0.09 THz source, as much as 80% of the signal transmitted through dry samples. We also determined that glazes with more plasticity are significantly more effective at blocking moisture than brittle, crack-prone glazes. Light surface moisture penetrated localized submicron cracks and permeated through the entire specimen. As a result, we were able to successfully monitor the drying process.</w:t>
      </w:r>
    </w:p>
    <w:p w:rsidR="00C733B3" w:rsidRDefault="00C733B3" w:rsidP="001528A6">
      <w:pPr>
        <w:jc w:val="both"/>
      </w:pPr>
    </w:p>
    <w:p w:rsidR="00F93425" w:rsidRPr="00500EB7" w:rsidRDefault="00C733B3" w:rsidP="001528A6">
      <w:pPr>
        <w:jc w:val="both"/>
        <w:rPr>
          <w:smallCaps/>
          <w:u w:val="single"/>
        </w:rPr>
      </w:pPr>
      <w:r w:rsidRPr="00500EB7">
        <w:rPr>
          <w:noProof/>
          <w:u w:val="single"/>
        </w:rPr>
        <mc:AlternateContent>
          <mc:Choice Requires="wps">
            <w:drawing>
              <wp:anchor distT="0" distB="0" distL="114300" distR="114300" simplePos="0" relativeHeight="251668480" behindDoc="0" locked="0" layoutInCell="1" allowOverlap="1" wp14:anchorId="17BBAE03" wp14:editId="160F54B3">
                <wp:simplePos x="0" y="0"/>
                <wp:positionH relativeFrom="column">
                  <wp:posOffset>1506855</wp:posOffset>
                </wp:positionH>
                <wp:positionV relativeFrom="paragraph">
                  <wp:posOffset>442132</wp:posOffset>
                </wp:positionV>
                <wp:extent cx="0" cy="1362075"/>
                <wp:effectExtent l="19050" t="0" r="38100" b="952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2075"/>
                        </a:xfrm>
                        <a:prstGeom prst="straightConnector1">
                          <a:avLst/>
                        </a:prstGeom>
                        <a:noFill/>
                        <a:ln w="57150">
                          <a:solidFill>
                            <a:srgbClr val="E5B8B7"/>
                          </a:solidFill>
                          <a:prstDash val="sysDot"/>
                          <a:round/>
                          <a:headEnd/>
                          <a:tailEnd/>
                        </a:ln>
                      </wps:spPr>
                      <wps:bodyPr/>
                    </wps:wsp>
                  </a:graphicData>
                </a:graphic>
              </wp:anchor>
            </w:drawing>
          </mc:Choice>
          <mc:Fallback>
            <w:pict>
              <v:shapetype w14:anchorId="1851E8EA" id="_x0000_t32" coordsize="21600,21600" o:spt="32" o:oned="t" path="m,l21600,21600e" filled="f">
                <v:path arrowok="t" fillok="f" o:connecttype="none"/>
                <o:lock v:ext="edit" shapetype="t"/>
              </v:shapetype>
              <v:shape id="AutoShape 6" o:spid="_x0000_s1026" type="#_x0000_t32" style="position:absolute;margin-left:118.65pt;margin-top:34.8pt;width:0;height:107.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" strokecolor="#e5b8b7" strokeweight="4.5pt">
                <v:stroke dashstyle="1 1"/>
              </v:shape>
            </w:pict>
          </mc:Fallback>
        </mc:AlternateContent>
      </w:r>
      <w:r w:rsidR="00F93425" w:rsidRPr="00500EB7">
        <w:rPr>
          <w:noProof/>
          <w:u w:val="single"/>
        </w:rPr>
        <w:drawing>
          <wp:anchor distT="0" distB="0" distL="114300" distR="114300" simplePos="0" relativeHeight="251665408" behindDoc="0" locked="0" layoutInCell="1" allowOverlap="1" wp14:anchorId="77EBA10D" wp14:editId="258E740C">
            <wp:simplePos x="0" y="0"/>
            <wp:positionH relativeFrom="column">
              <wp:posOffset>1199515</wp:posOffset>
            </wp:positionH>
            <wp:positionV relativeFrom="paragraph">
              <wp:posOffset>424180</wp:posOffset>
            </wp:positionV>
            <wp:extent cx="913765" cy="1371600"/>
            <wp:effectExtent l="0" t="0" r="635" b="0"/>
            <wp:wrapTopAndBottom/>
            <wp:docPr id="5" name="Content Placeholder 4" descr="All Blend.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ll Blend.png"/>
                    <pic:cNvPicPr>
                      <a:picLocks noGrp="1" noChangeAspect="1"/>
                    </pic:cNvPicPr>
                  </pic:nvPicPr>
                  <pic:blipFill>
                    <a:blip r:embed="rId7" cstate="print"/>
                    <a:stretch>
                      <a:fillRect/>
                    </a:stretch>
                  </pic:blipFill>
                  <pic:spPr>
                    <a:xfrm>
                      <a:off x="0" y="0"/>
                      <a:ext cx="913765" cy="1371600"/>
                    </a:xfrm>
                    <a:prstGeom prst="rect">
                      <a:avLst/>
                    </a:prstGeom>
                  </pic:spPr>
                </pic:pic>
              </a:graphicData>
            </a:graphic>
            <wp14:sizeRelH relativeFrom="margin">
              <wp14:pctWidth>0</wp14:pctWidth>
            </wp14:sizeRelH>
            <wp14:sizeRelV relativeFrom="margin">
              <wp14:pctHeight>0</wp14:pctHeight>
            </wp14:sizeRelV>
          </wp:anchor>
        </w:drawing>
      </w:r>
      <w:r w:rsidR="00424187">
        <w:rPr>
          <w:noProof/>
          <w:u w:val="single"/>
        </w:rPr>
        <w:pict>
          <v:shape id="_x0000_s1031" type="#_x0000_t75" style="position:absolute;left:0;text-align:left;margin-left:4.9pt;margin-top:32.1pt;width:81pt;height:108pt;z-index:251663360;mso-position-horizontal-relative:text;mso-position-vertical-relative:text">
            <v:imagedata r:id="rId8" o:title="IMG_0543"/>
            <w10:wrap type="topAndBottom"/>
          </v:shape>
        </w:pict>
      </w:r>
      <w:r w:rsidR="00F93425" w:rsidRPr="00500EB7">
        <w:rPr>
          <w:noProof/>
          <w:u w:val="single"/>
        </w:rPr>
        <w:drawing>
          <wp:anchor distT="0" distB="0" distL="114300" distR="114300" simplePos="0" relativeHeight="251671552" behindDoc="0" locked="0" layoutInCell="1" allowOverlap="1" wp14:anchorId="3BD6BE7C" wp14:editId="3856726A">
            <wp:simplePos x="0" y="0"/>
            <wp:positionH relativeFrom="margin">
              <wp:posOffset>2205162</wp:posOffset>
            </wp:positionH>
            <wp:positionV relativeFrom="paragraph">
              <wp:posOffset>694055</wp:posOffset>
            </wp:positionV>
            <wp:extent cx="3657600" cy="923925"/>
            <wp:effectExtent l="0" t="0" r="0" b="9525"/>
            <wp:wrapTopAndBottom/>
            <wp:docPr id="7175" name="Picture 7" descr="Church Hole Section II JJ KK (d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Picture 7" descr="Church Hole Section II JJ KK (dt=0"/>
                    <pic:cNvPicPr>
                      <a:picLocks noChangeAspect="1" noChangeArrowheads="1"/>
                    </pic:cNvPicPr>
                  </pic:nvPicPr>
                  <pic:blipFill>
                    <a:blip r:embed="rId9" cstate="print"/>
                    <a:srcRect/>
                    <a:stretch>
                      <a:fillRect/>
                    </a:stretch>
                  </pic:blipFill>
                  <pic:spPr bwMode="auto">
                    <a:xfrm>
                      <a:off x="0" y="0"/>
                      <a:ext cx="3657600" cy="923925"/>
                    </a:xfrm>
                    <a:prstGeom prst="rect">
                      <a:avLst/>
                    </a:prstGeom>
                    <a:noFill/>
                  </pic:spPr>
                </pic:pic>
              </a:graphicData>
            </a:graphic>
          </wp:anchor>
        </w:drawing>
      </w:r>
      <w:r w:rsidRPr="00500EB7">
        <w:rPr>
          <w:u w:val="single"/>
        </w:rPr>
        <w:t>O</w:t>
      </w:r>
      <w:r w:rsidRPr="00500EB7">
        <w:rPr>
          <w:smallCaps/>
          <w:u w:val="single"/>
        </w:rPr>
        <w:t>ther Topics</w:t>
      </w:r>
    </w:p>
    <w:p w:rsidR="00F93425" w:rsidRDefault="00F93425" w:rsidP="001528A6">
      <w:pPr>
        <w:jc w:val="both"/>
      </w:pPr>
    </w:p>
    <w:p w:rsidR="00C733B3" w:rsidRPr="00297B25" w:rsidRDefault="00C733B3" w:rsidP="001528A6">
      <w:pPr>
        <w:jc w:val="both"/>
      </w:pPr>
      <w:r>
        <w:t xml:space="preserve">Other research projects </w:t>
      </w:r>
      <w:r w:rsidR="004733C5">
        <w:t>included with</w:t>
      </w:r>
      <w:r>
        <w:t xml:space="preserve"> TISCH</w:t>
      </w:r>
      <w:r w:rsidR="004733C5">
        <w:t xml:space="preserve">: the TDS imaging of a Paleolithic cave etching in Creswell Crags UK, partially obscured by flow rock; the implementation of pigment identification using Neural Network Analysis of THz spectra on fresco samples; and </w:t>
      </w:r>
      <w:r w:rsidR="00500EB7">
        <w:t>the TDS analysis of transmission through a corroded bronze Sumerian vessel.</w:t>
      </w:r>
    </w:p>
    <w:sectPr w:rsidR="00C733B3" w:rsidRPr="00297B25" w:rsidSect="009974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DF7E12"/>
    <w:multiLevelType w:val="hybridMultilevel"/>
    <w:tmpl w:val="76CCD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93619E"/>
    <w:multiLevelType w:val="hybridMultilevel"/>
    <w:tmpl w:val="A8848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C6A45F6">
      <w:numFmt w:val="bullet"/>
      <w:lvlText w:val="•"/>
      <w:lvlJc w:val="left"/>
      <w:pPr>
        <w:ind w:left="2520" w:hanging="720"/>
      </w:pPr>
      <w:rPr>
        <w:rFonts w:ascii="Calibri" w:eastAsiaTheme="minorHAnsi"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7465CB"/>
    <w:multiLevelType w:val="hybridMultilevel"/>
    <w:tmpl w:val="8BE0BBD4"/>
    <w:lvl w:ilvl="0" w:tplc="03CE78D2">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A61"/>
    <w:rsid w:val="0007606F"/>
    <w:rsid w:val="000D225B"/>
    <w:rsid w:val="001528A6"/>
    <w:rsid w:val="0016658F"/>
    <w:rsid w:val="001737BE"/>
    <w:rsid w:val="00191611"/>
    <w:rsid w:val="001F5A61"/>
    <w:rsid w:val="00206599"/>
    <w:rsid w:val="00266E76"/>
    <w:rsid w:val="00297B25"/>
    <w:rsid w:val="003538A6"/>
    <w:rsid w:val="004733C5"/>
    <w:rsid w:val="004F7899"/>
    <w:rsid w:val="00500EB7"/>
    <w:rsid w:val="00541EF7"/>
    <w:rsid w:val="0069048E"/>
    <w:rsid w:val="006B6FBE"/>
    <w:rsid w:val="009974AD"/>
    <w:rsid w:val="00A56517"/>
    <w:rsid w:val="00B1750B"/>
    <w:rsid w:val="00B36A62"/>
    <w:rsid w:val="00C277FD"/>
    <w:rsid w:val="00C67C13"/>
    <w:rsid w:val="00C733B3"/>
    <w:rsid w:val="00D54384"/>
    <w:rsid w:val="00E92A96"/>
    <w:rsid w:val="00F34842"/>
    <w:rsid w:val="00F93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fill="f" fillcolor="white" stroke="f">
      <v:fill color="white" on="f"/>
      <v:stroke on="f"/>
    </o:shapedefaults>
    <o:shapelayout v:ext="edit">
      <o:idmap v:ext="edit" data="1"/>
    </o:shapelayout>
  </w:shapeDefaults>
  <w:decimalSymbol w:val="."/>
  <w:listSeparator w:val=","/>
  <w14:docId w14:val="0F660810"/>
  <w15:chartTrackingRefBased/>
  <w15:docId w15:val="{7D9339CB-5FCA-4D02-BCB7-10E318741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4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48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48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6454877">
      <w:bodyDiv w:val="1"/>
      <w:marLeft w:val="0"/>
      <w:marRight w:val="0"/>
      <w:marTop w:val="0"/>
      <w:marBottom w:val="0"/>
      <w:divBdr>
        <w:top w:val="none" w:sz="0" w:space="0" w:color="auto"/>
        <w:left w:val="none" w:sz="0" w:space="0" w:color="auto"/>
        <w:bottom w:val="none" w:sz="0" w:space="0" w:color="auto"/>
        <w:right w:val="none" w:sz="0" w:space="0" w:color="auto"/>
      </w:divBdr>
      <w:divsChild>
        <w:div w:id="9256518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633</Words>
  <Characters>3611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Bianca Jackson</dc:creator>
  <cp:keywords/>
  <dc:description/>
  <cp:lastModifiedBy>J Bianca Jackson</cp:lastModifiedBy>
  <cp:revision>2</cp:revision>
  <cp:lastPrinted>2016-02-12T16:18:00Z</cp:lastPrinted>
  <dcterms:created xsi:type="dcterms:W3CDTF">2016-02-12T17:28:00Z</dcterms:created>
  <dcterms:modified xsi:type="dcterms:W3CDTF">2016-02-12T17:28:00Z</dcterms:modified>
</cp:coreProperties>
</file>