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2F72" w:rsidRDefault="00C32F72" w:rsidP="00C32F72">
      <w:pPr>
        <w:pStyle w:val="Paragraphpublishablesummary"/>
        <w:spacing w:before="240"/>
      </w:pPr>
      <w:r>
        <w:rPr>
          <w:noProof/>
          <w:lang w:val="it-IT" w:eastAsia="it-IT"/>
        </w:rPr>
        <w:drawing>
          <wp:inline distT="0" distB="0" distL="0" distR="0">
            <wp:extent cx="5012055" cy="5098415"/>
            <wp:effectExtent l="0" t="0" r="0" b="6985"/>
            <wp:docPr id="1" name="Immagine 1" descr="Fig2B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Fig2Bis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055" cy="509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72" w:rsidRDefault="00C32F72" w:rsidP="00C32F72">
      <w:pPr>
        <w:pStyle w:val="Paragraphpublishablesummary"/>
        <w:spacing w:before="240"/>
      </w:pPr>
    </w:p>
    <w:p w:rsidR="00C32F72" w:rsidRPr="00C87D78" w:rsidRDefault="00C32F72" w:rsidP="00C32F72">
      <w:pPr>
        <w:pStyle w:val="Paragraphpublishablesummary"/>
        <w:spacing w:after="240"/>
        <w:rPr>
          <w:i/>
        </w:rPr>
      </w:pPr>
      <w:r w:rsidRPr="00C87D78">
        <w:rPr>
          <w:i/>
        </w:rPr>
        <w:t xml:space="preserve">Figure </w:t>
      </w:r>
      <w:r>
        <w:rPr>
          <w:i/>
        </w:rPr>
        <w:t>A</w:t>
      </w:r>
      <w:r w:rsidRPr="00C87D78">
        <w:rPr>
          <w:i/>
        </w:rPr>
        <w:t xml:space="preserve">: Scheme of the </w:t>
      </w:r>
      <w:proofErr w:type="spellStart"/>
      <w:r w:rsidRPr="00C87D78">
        <w:rPr>
          <w:i/>
        </w:rPr>
        <w:t>MultiHemp</w:t>
      </w:r>
      <w:proofErr w:type="spellEnd"/>
      <w:r w:rsidRPr="00C87D78">
        <w:rPr>
          <w:i/>
        </w:rPr>
        <w:t xml:space="preserve"> biorefinery concept. Large arrows indicate raw material flow along the production chain; Stars highlight innovative processing to upgrade by-products i</w:t>
      </w:r>
      <w:r>
        <w:rPr>
          <w:i/>
        </w:rPr>
        <w:t>nto high added value end uses.</w:t>
      </w:r>
    </w:p>
    <w:p w:rsidR="00C32F72" w:rsidRPr="00802F79" w:rsidRDefault="00C32F72" w:rsidP="00C32F72">
      <w:pPr>
        <w:pStyle w:val="Paragraphpublishablesummary"/>
        <w:spacing w:before="120" w:line="240" w:lineRule="auto"/>
        <w:rPr>
          <w:i/>
        </w:rPr>
      </w:pPr>
      <w:r w:rsidRPr="00802F79">
        <w:rPr>
          <w:b/>
          <w:i/>
        </w:rPr>
        <w:t>Table 1</w:t>
      </w:r>
      <w:r w:rsidRPr="00802F79">
        <w:rPr>
          <w:i/>
        </w:rPr>
        <w:t>: List of fibre traits and selected gene targets</w:t>
      </w:r>
    </w:p>
    <w:p w:rsidR="00C32F72" w:rsidRDefault="00C32F72" w:rsidP="00C32F72">
      <w:pPr>
        <w:pStyle w:val="Paragraphpublishablesummary"/>
      </w:pPr>
      <w:r>
        <w:rPr>
          <w:noProof/>
          <w:lang w:val="it-IT" w:eastAsia="it-IT"/>
        </w:rPr>
        <w:drawing>
          <wp:inline distT="0" distB="0" distL="0" distR="0">
            <wp:extent cx="6239510" cy="1842135"/>
            <wp:effectExtent l="0" t="0" r="8890" b="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510" cy="1842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F72" w:rsidRDefault="00C32F72" w:rsidP="00C32F72">
      <w:pPr>
        <w:pStyle w:val="Paragraphpublishablesummary"/>
      </w:pPr>
      <w:r>
        <w:rPr>
          <w:rFonts w:ascii="Calibri" w:hAnsi="Calibri"/>
          <w:noProof/>
          <w:lang w:val="it-IT" w:eastAsia="it-IT"/>
        </w:rPr>
        <w:lastRenderedPageBreak/>
        <w:drawing>
          <wp:inline distT="0" distB="0" distL="0" distR="0">
            <wp:extent cx="5934710" cy="6728460"/>
            <wp:effectExtent l="0" t="0" r="889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72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2F72" w:rsidRDefault="00C32F72" w:rsidP="00C32F72">
      <w:pPr>
        <w:pStyle w:val="Paragraphpublishablesummary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5236845" cy="2877820"/>
            <wp:effectExtent l="0" t="0" r="190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845" cy="287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F72" w:rsidRDefault="00C32F72" w:rsidP="00C32F72">
      <w:pPr>
        <w:pStyle w:val="Paragraphpublishablesummary"/>
      </w:pPr>
      <w:r w:rsidRPr="005D4DCD">
        <w:rPr>
          <w:b/>
        </w:rPr>
        <w:t>Figure 2</w:t>
      </w:r>
      <w:r w:rsidRPr="005D4DCD">
        <w:t xml:space="preserve">: Homozygous mutant lines showing a decrease in lignin and acetylation in the fibres (in comparison to Wild Type </w:t>
      </w:r>
      <w:proofErr w:type="spellStart"/>
      <w:r w:rsidRPr="005D4DCD">
        <w:t>Finola</w:t>
      </w:r>
      <w:proofErr w:type="spellEnd"/>
      <w:r w:rsidRPr="005D4DCD">
        <w:t xml:space="preserve"> WT).</w:t>
      </w:r>
    </w:p>
    <w:p w:rsidR="00C32F72" w:rsidRDefault="00C32F72" w:rsidP="00C32F72">
      <w:pPr>
        <w:pStyle w:val="Paragraphpublishablesummary"/>
        <w:spacing w:before="240"/>
      </w:pPr>
      <w:r w:rsidRPr="005D4DCD">
        <w:rPr>
          <w:b/>
        </w:rPr>
        <w:t>Table 2:</w:t>
      </w:r>
      <w:r w:rsidRPr="005D4DCD">
        <w:t xml:space="preserve"> Summary of mutant lines available in WP1</w:t>
      </w:r>
    </w:p>
    <w:p w:rsidR="00C32F72" w:rsidRDefault="00C32F72" w:rsidP="00C32F72">
      <w:pPr>
        <w:pStyle w:val="Paragraphpublishablesummary"/>
      </w:pPr>
      <w:r>
        <w:rPr>
          <w:noProof/>
          <w:lang w:val="it-IT" w:eastAsia="it-IT"/>
        </w:rPr>
        <w:drawing>
          <wp:inline distT="0" distB="0" distL="0" distR="0">
            <wp:extent cx="6090285" cy="3456940"/>
            <wp:effectExtent l="0" t="0" r="5715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345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F72" w:rsidRDefault="00C32F72" w:rsidP="00C32F72">
      <w:pPr>
        <w:pStyle w:val="Paragraphpublishablesummary"/>
      </w:pPr>
      <w:r w:rsidRPr="005D4DCD">
        <w:t xml:space="preserve">Het means heterologous and </w:t>
      </w:r>
      <w:proofErr w:type="spellStart"/>
      <w:r w:rsidRPr="005D4DCD">
        <w:t>hom</w:t>
      </w:r>
      <w:proofErr w:type="spellEnd"/>
      <w:r w:rsidRPr="005D4DCD">
        <w:t xml:space="preserve"> homologous. Het sib crossing means crossing between 2 heterologous lines, </w:t>
      </w:r>
      <w:proofErr w:type="spellStart"/>
      <w:r w:rsidRPr="005D4DCD">
        <w:t>hom</w:t>
      </w:r>
      <w:proofErr w:type="spellEnd"/>
      <w:r w:rsidRPr="005D4DCD">
        <w:t xml:space="preserve"> sib crossing means crossing between 2 </w:t>
      </w:r>
      <w:proofErr w:type="spellStart"/>
      <w:r w:rsidRPr="005D4DCD">
        <w:t>hom</w:t>
      </w:r>
      <w:proofErr w:type="spellEnd"/>
      <w:r w:rsidRPr="005D4DCD">
        <w:t xml:space="preserve"> lines. BC means back cross to </w:t>
      </w:r>
      <w:proofErr w:type="spellStart"/>
      <w:r w:rsidRPr="005D4DCD">
        <w:t>Finola</w:t>
      </w:r>
      <w:proofErr w:type="spellEnd"/>
      <w:r w:rsidRPr="005D4DCD">
        <w:t xml:space="preserve"> wild type.* means that the mutation create a stop codon.</w:t>
      </w:r>
    </w:p>
    <w:p w:rsidR="00312DD3" w:rsidRDefault="00312DD3">
      <w:pPr>
        <w:rPr>
          <w:lang w:val="en-GB"/>
        </w:rPr>
      </w:pPr>
    </w:p>
    <w:p w:rsidR="00C32F72" w:rsidRDefault="00C32F72" w:rsidP="00C32F72">
      <w:pPr>
        <w:pStyle w:val="Paragraphpublishablesummary"/>
      </w:pPr>
      <w:r>
        <w:rPr>
          <w:noProof/>
          <w:lang w:val="it-IT" w:eastAsia="it-IT"/>
        </w:rPr>
        <w:lastRenderedPageBreak/>
        <w:drawing>
          <wp:inline distT="0" distB="0" distL="0" distR="0">
            <wp:extent cx="4909185" cy="2995930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4" t="20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299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F72" w:rsidRDefault="00C32F72" w:rsidP="00C32F72">
      <w:pPr>
        <w:pStyle w:val="Paragraphpublishablesummary"/>
      </w:pPr>
      <w:r w:rsidRPr="000A3C20">
        <w:t xml:space="preserve">Figure </w:t>
      </w:r>
      <w:r>
        <w:t>3</w:t>
      </w:r>
      <w:r w:rsidRPr="000A3C20">
        <w:t>. Predicted (model) and observed (measured) values of flowering time of seven different cultivars in different environments. Colours correspond to the different cultivars, points represent flowering time in a particular loca</w:t>
      </w:r>
      <w:r>
        <w:t>tion and for a particular year</w:t>
      </w:r>
      <w:r w:rsidRPr="000A3C20">
        <w:t>. The solid line represents the 1:1 ratio.</w:t>
      </w:r>
    </w:p>
    <w:p w:rsidR="00C32F72" w:rsidRPr="00E65A27" w:rsidRDefault="00C32F72" w:rsidP="00C32F72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2880995" cy="2156460"/>
            <wp:effectExtent l="0" t="0" r="0" b="0"/>
            <wp:docPr id="10" name="Grafico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b/>
          <w:noProof/>
          <w:lang w:eastAsia="it-IT"/>
        </w:rPr>
        <w:drawing>
          <wp:inline distT="0" distB="0" distL="0" distR="0">
            <wp:extent cx="2880995" cy="2156460"/>
            <wp:effectExtent l="0" t="0" r="0" b="0"/>
            <wp:docPr id="9" name="Grafico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C32F72" w:rsidRPr="00E65A27" w:rsidRDefault="00C32F72" w:rsidP="00C32F72">
      <w:pPr>
        <w:rPr>
          <w:b/>
        </w:rPr>
      </w:pPr>
      <w:r>
        <w:rPr>
          <w:b/>
          <w:noProof/>
          <w:lang w:eastAsia="it-IT"/>
        </w:rPr>
        <w:drawing>
          <wp:inline distT="0" distB="0" distL="0" distR="0">
            <wp:extent cx="2880995" cy="2156460"/>
            <wp:effectExtent l="0" t="0" r="0" b="0"/>
            <wp:docPr id="8" name="Grafico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>
        <w:rPr>
          <w:b/>
          <w:noProof/>
          <w:lang w:eastAsia="it-IT"/>
        </w:rPr>
        <w:drawing>
          <wp:inline distT="0" distB="0" distL="0" distR="0">
            <wp:extent cx="2880995" cy="2156460"/>
            <wp:effectExtent l="0" t="0" r="0" b="0"/>
            <wp:docPr id="7" name="Grafico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32F72" w:rsidRPr="00090438" w:rsidRDefault="00C32F72" w:rsidP="00C32F72">
      <w:pPr>
        <w:pStyle w:val="Paragraphpublishablesummary"/>
        <w:rPr>
          <w:i/>
        </w:rPr>
      </w:pPr>
      <w:r w:rsidRPr="00090438">
        <w:rPr>
          <w:i/>
        </w:rPr>
        <w:t xml:space="preserve">Figure </w:t>
      </w:r>
      <w:r>
        <w:rPr>
          <w:i/>
        </w:rPr>
        <w:t>4</w:t>
      </w:r>
      <w:r w:rsidRPr="00090438">
        <w:rPr>
          <w:i/>
        </w:rPr>
        <w:t>. The response of leaf respiration in dark (</w:t>
      </w:r>
      <w:proofErr w:type="spellStart"/>
      <w:r w:rsidRPr="00090438">
        <w:rPr>
          <w:i/>
        </w:rPr>
        <w:t>Rdk</w:t>
      </w:r>
      <w:proofErr w:type="spellEnd"/>
      <w:r w:rsidRPr="00090438">
        <w:rPr>
          <w:i/>
        </w:rPr>
        <w:t xml:space="preserve">, Panels a and c) and maximum light-saturated net photosynthesis rate (Amax; Panels b and d) to specific leaf nitrogen (SLN; Panels a </w:t>
      </w:r>
      <w:r w:rsidRPr="00090438">
        <w:rPr>
          <w:i/>
        </w:rPr>
        <w:lastRenderedPageBreak/>
        <w:t xml:space="preserve">and b) and leaf temperature (TL; Panels c and d). </w:t>
      </w:r>
      <w:proofErr w:type="spellStart"/>
      <w:r w:rsidRPr="00090438">
        <w:rPr>
          <w:i/>
        </w:rPr>
        <w:t>Rdk</w:t>
      </w:r>
      <w:proofErr w:type="spellEnd"/>
      <w:r w:rsidRPr="00090438">
        <w:rPr>
          <w:i/>
        </w:rPr>
        <w:t xml:space="preserve"> was measured after adapting leaves in dark for 15 minutes after measuring the A - </w:t>
      </w:r>
      <w:proofErr w:type="spellStart"/>
      <w:r w:rsidRPr="00090438">
        <w:rPr>
          <w:i/>
        </w:rPr>
        <w:t>Iinc</w:t>
      </w:r>
      <w:proofErr w:type="spellEnd"/>
      <w:r w:rsidRPr="00090438">
        <w:rPr>
          <w:i/>
        </w:rPr>
        <w:t xml:space="preserve"> curve. Amax was measured at 2000 </w:t>
      </w:r>
      <w:proofErr w:type="spellStart"/>
      <w:r w:rsidRPr="00090438">
        <w:rPr>
          <w:i/>
        </w:rPr>
        <w:t>μmol</w:t>
      </w:r>
      <w:proofErr w:type="spellEnd"/>
      <w:r w:rsidRPr="00090438">
        <w:rPr>
          <w:i/>
        </w:rPr>
        <w:t xml:space="preserve"> m-2 s-1 for incident light intensity and 400 </w:t>
      </w:r>
      <w:proofErr w:type="spellStart"/>
      <w:r w:rsidRPr="00090438">
        <w:rPr>
          <w:i/>
        </w:rPr>
        <w:t>μmol</w:t>
      </w:r>
      <w:proofErr w:type="spellEnd"/>
      <w:r w:rsidRPr="00090438">
        <w:rPr>
          <w:i/>
        </w:rPr>
        <w:t xml:space="preserve"> mol-1 for ambient CO2 concentration. The data presented in Panel a and Panel b were obtained in the N-trial while those in Panel c and Panel d were obtained in the T-trial. The bars in Panels c and d indicate standard errors of the mean (n = 3). From Tang et al. (Accepted)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724"/>
        <w:gridCol w:w="5022"/>
      </w:tblGrid>
      <w:tr w:rsidR="00C32F72" w:rsidRPr="008B6FA2" w:rsidTr="00C32F72">
        <w:tc>
          <w:tcPr>
            <w:tcW w:w="4724" w:type="dxa"/>
            <w:shd w:val="clear" w:color="auto" w:fill="auto"/>
            <w:vAlign w:val="center"/>
            <w:hideMark/>
          </w:tcPr>
          <w:p w:rsidR="00C32F72" w:rsidRPr="009E4111" w:rsidRDefault="00C32F72" w:rsidP="001645ED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 wp14:anchorId="5828984E" wp14:editId="2867DBA7">
                  <wp:extent cx="2880995" cy="1078230"/>
                  <wp:effectExtent l="0" t="0" r="0" b="762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078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22" w:type="dxa"/>
            <w:shd w:val="clear" w:color="auto" w:fill="auto"/>
            <w:vAlign w:val="center"/>
            <w:hideMark/>
          </w:tcPr>
          <w:p w:rsidR="00C32F72" w:rsidRPr="009E4111" w:rsidRDefault="00C32F72" w:rsidP="001645ED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 wp14:anchorId="33625E0D" wp14:editId="5FBEDE08">
                  <wp:extent cx="3070860" cy="983615"/>
                  <wp:effectExtent l="0" t="0" r="0" b="6985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860" cy="9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F72" w:rsidRPr="00C32F72" w:rsidTr="00C32F72">
        <w:tc>
          <w:tcPr>
            <w:tcW w:w="9746" w:type="dxa"/>
            <w:gridSpan w:val="2"/>
            <w:shd w:val="clear" w:color="auto" w:fill="auto"/>
            <w:tcMar>
              <w:top w:w="142" w:type="dxa"/>
              <w:left w:w="108" w:type="dxa"/>
              <w:bottom w:w="142" w:type="dxa"/>
              <w:right w:w="108" w:type="dxa"/>
            </w:tcMar>
            <w:hideMark/>
          </w:tcPr>
          <w:p w:rsidR="00C32F72" w:rsidRPr="008B6FA2" w:rsidRDefault="00C32F72" w:rsidP="001645ED">
            <w:pPr>
              <w:pStyle w:val="Paragraphpublishablesummary"/>
            </w:pPr>
            <w:r w:rsidRPr="008B6FA2">
              <w:t>Fig. </w:t>
            </w:r>
            <w:r>
              <w:t>5</w:t>
            </w:r>
            <w:r w:rsidRPr="008B6FA2">
              <w:tab/>
              <w:t>Design and prototype of a new machine concept for harvesting hemp seeds from swath</w:t>
            </w:r>
          </w:p>
        </w:tc>
      </w:tr>
    </w:tbl>
    <w:p w:rsidR="00C32F72" w:rsidRDefault="00C32F72" w:rsidP="00C32F72">
      <w:pPr>
        <w:pStyle w:val="Paragraphpublishablesummary"/>
      </w:pPr>
      <w:r>
        <w:rPr>
          <w:noProof/>
          <w:lang w:val="it-IT" w:eastAsia="it-IT"/>
        </w:rPr>
        <w:drawing>
          <wp:inline distT="0" distB="0" distL="0" distR="0">
            <wp:extent cx="5292090" cy="2377440"/>
            <wp:effectExtent l="0" t="0" r="3810" b="3810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2090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32F72" w:rsidRDefault="00C32F72" w:rsidP="00C32F72">
      <w:pPr>
        <w:pStyle w:val="Paragraphpublishablesummary"/>
      </w:pPr>
      <w:r w:rsidRPr="00782369">
        <w:t xml:space="preserve">Fig. </w:t>
      </w:r>
      <w:r>
        <w:t>6</w:t>
      </w:r>
      <w:r w:rsidRPr="00782369">
        <w:tab/>
        <w:t>Monosaccharides composition of bio-degumming liquor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20"/>
        <w:gridCol w:w="4926"/>
      </w:tblGrid>
      <w:tr w:rsidR="00C32F72" w:rsidRPr="008B6FA2" w:rsidTr="00BA3AD2">
        <w:trPr>
          <w:trHeight w:val="3402"/>
        </w:trPr>
        <w:tc>
          <w:tcPr>
            <w:tcW w:w="4820" w:type="dxa"/>
            <w:shd w:val="clear" w:color="auto" w:fill="auto"/>
            <w:vAlign w:val="center"/>
            <w:hideMark/>
          </w:tcPr>
          <w:p w:rsidR="00C32F72" w:rsidRPr="009E4111" w:rsidRDefault="00C32F72" w:rsidP="00BA3AD2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 wp14:anchorId="592BDE0A" wp14:editId="02F20240">
                  <wp:extent cx="2872740" cy="1751330"/>
                  <wp:effectExtent l="0" t="0" r="3810" b="1270"/>
                  <wp:docPr id="15" name="Immagin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740" cy="1751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shd w:val="clear" w:color="auto" w:fill="auto"/>
            <w:vAlign w:val="center"/>
            <w:hideMark/>
          </w:tcPr>
          <w:p w:rsidR="00C32F72" w:rsidRPr="009E4111" w:rsidRDefault="00C32F72" w:rsidP="00BA3AD2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 wp14:anchorId="194D08D9" wp14:editId="3B593E22">
                  <wp:extent cx="2880995" cy="1725295"/>
                  <wp:effectExtent l="0" t="0" r="0" b="8255"/>
                  <wp:docPr id="14" name="Immagin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95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F72" w:rsidRPr="00C32F72" w:rsidTr="00BA3AD2">
        <w:tc>
          <w:tcPr>
            <w:tcW w:w="4820" w:type="dxa"/>
            <w:shd w:val="clear" w:color="auto" w:fill="auto"/>
            <w:hideMark/>
          </w:tcPr>
          <w:p w:rsidR="00C32F72" w:rsidRPr="00C32F72" w:rsidRDefault="00C32F72" w:rsidP="00BA3AD2">
            <w:pPr>
              <w:jc w:val="both"/>
              <w:rPr>
                <w:rFonts w:ascii="Times New Roman" w:eastAsia="Times New Roman" w:hAnsi="Times New Roman"/>
                <w:lang w:val="en-US"/>
              </w:rPr>
            </w:pPr>
            <w:r w:rsidRPr="00C32F72">
              <w:rPr>
                <w:rFonts w:ascii="Times New Roman" w:eastAsia="Times New Roman" w:hAnsi="Times New Roman"/>
                <w:lang w:val="en-US"/>
              </w:rPr>
              <w:t>Fig. 7</w:t>
            </w:r>
            <w:r w:rsidRPr="00C32F72">
              <w:rPr>
                <w:rFonts w:ascii="Times New Roman" w:eastAsia="Times New Roman" w:hAnsi="Times New Roman"/>
                <w:lang w:val="en-US"/>
              </w:rPr>
              <w:tab/>
              <w:t>Thickness swelling of board samples of wet preserved hemp from two different varieties</w:t>
            </w:r>
          </w:p>
        </w:tc>
        <w:tc>
          <w:tcPr>
            <w:tcW w:w="4926" w:type="dxa"/>
            <w:shd w:val="clear" w:color="auto" w:fill="auto"/>
            <w:hideMark/>
          </w:tcPr>
          <w:p w:rsidR="00C32F72" w:rsidRPr="00C32F72" w:rsidRDefault="00C32F72" w:rsidP="00BA3AD2">
            <w:pPr>
              <w:jc w:val="both"/>
              <w:rPr>
                <w:rFonts w:ascii="Times New Roman" w:eastAsia="Times New Roman" w:hAnsi="Times New Roman"/>
                <w:lang w:val="en-US"/>
              </w:rPr>
            </w:pPr>
            <w:r w:rsidRPr="00C32F72">
              <w:rPr>
                <w:rFonts w:ascii="Times New Roman" w:eastAsia="Times New Roman" w:hAnsi="Times New Roman"/>
                <w:lang w:val="en-US"/>
              </w:rPr>
              <w:t>Fig. 8</w:t>
            </w:r>
            <w:r w:rsidRPr="00C32F72">
              <w:rPr>
                <w:rFonts w:ascii="Times New Roman" w:eastAsia="Times New Roman" w:hAnsi="Times New Roman"/>
                <w:lang w:val="en-US"/>
              </w:rPr>
              <w:tab/>
              <w:t>Bending strength of board samples of wet preserved hemp from two different varieties</w:t>
            </w:r>
          </w:p>
        </w:tc>
      </w:tr>
    </w:tbl>
    <w:p w:rsidR="00C32F72" w:rsidRDefault="00C32F72" w:rsidP="00C32F72">
      <w:pPr>
        <w:pStyle w:val="Paragraphpublishablesummary"/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781"/>
        <w:gridCol w:w="4889"/>
      </w:tblGrid>
      <w:tr w:rsidR="00C32F72" w:rsidRPr="008B6FA2" w:rsidTr="001645ED">
        <w:trPr>
          <w:trHeight w:val="3118"/>
        </w:trPr>
        <w:tc>
          <w:tcPr>
            <w:tcW w:w="4781" w:type="dxa"/>
            <w:shd w:val="clear" w:color="auto" w:fill="auto"/>
            <w:vAlign w:val="center"/>
          </w:tcPr>
          <w:p w:rsidR="00C32F72" w:rsidRPr="009E4111" w:rsidRDefault="00C32F72" w:rsidP="001645ED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lastRenderedPageBreak/>
              <w:drawing>
                <wp:inline distT="0" distB="0" distL="0" distR="0">
                  <wp:extent cx="2346325" cy="1802765"/>
                  <wp:effectExtent l="0" t="0" r="0" b="6985"/>
                  <wp:docPr id="30" name="Immagin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8" r="41351" b="280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2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  <w:shd w:val="clear" w:color="auto" w:fill="auto"/>
            <w:vAlign w:val="center"/>
          </w:tcPr>
          <w:p w:rsidR="00C32F72" w:rsidRPr="009E4111" w:rsidRDefault="00C32F72" w:rsidP="001645ED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>
                  <wp:extent cx="2700020" cy="1802765"/>
                  <wp:effectExtent l="0" t="0" r="5080" b="6985"/>
                  <wp:docPr id="29" name="Immagin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0020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F72" w:rsidRPr="008B6FA2" w:rsidTr="001645ED">
        <w:tc>
          <w:tcPr>
            <w:tcW w:w="4781" w:type="dxa"/>
            <w:shd w:val="clear" w:color="auto" w:fill="auto"/>
          </w:tcPr>
          <w:p w:rsidR="00C32F72" w:rsidRPr="008B6FA2" w:rsidRDefault="00C32F72" w:rsidP="001645ED">
            <w:pPr>
              <w:pStyle w:val="Paragraphpublishablesummary"/>
            </w:pPr>
            <w:r w:rsidRPr="008B6FA2">
              <w:t>Fi</w:t>
            </w:r>
            <w:r>
              <w:t>g</w:t>
            </w:r>
            <w:r w:rsidRPr="008B6FA2">
              <w:t>. </w:t>
            </w:r>
            <w:r>
              <w:t>9</w:t>
            </w:r>
            <w:r w:rsidRPr="008B6FA2">
              <w:tab/>
              <w:t>Worthmann laboratory breaker unit</w:t>
            </w:r>
          </w:p>
        </w:tc>
        <w:tc>
          <w:tcPr>
            <w:tcW w:w="4889" w:type="dxa"/>
            <w:shd w:val="clear" w:color="auto" w:fill="auto"/>
          </w:tcPr>
          <w:p w:rsidR="00C32F72" w:rsidRPr="008B6FA2" w:rsidRDefault="00C32F72" w:rsidP="001645ED">
            <w:pPr>
              <w:pStyle w:val="Paragraphpublishablesummary"/>
            </w:pPr>
            <w:r w:rsidRPr="008B6FA2">
              <w:t>Fig. 1</w:t>
            </w:r>
            <w:r>
              <w:t>0</w:t>
            </w:r>
            <w:r w:rsidRPr="008B6FA2">
              <w:tab/>
              <w:t>Coarse separator</w:t>
            </w:r>
          </w:p>
        </w:tc>
      </w:tr>
    </w:tbl>
    <w:p w:rsidR="00C32F72" w:rsidRDefault="00C32F72" w:rsidP="00C32F72">
      <w:pPr>
        <w:pStyle w:val="Paragraphpublishablesummary"/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C32F72" w:rsidRPr="008B6FA2" w:rsidTr="001645ED">
        <w:trPr>
          <w:trHeight w:val="2721"/>
        </w:trPr>
        <w:tc>
          <w:tcPr>
            <w:tcW w:w="4819" w:type="dxa"/>
            <w:shd w:val="clear" w:color="auto" w:fill="auto"/>
            <w:vAlign w:val="center"/>
            <w:hideMark/>
          </w:tcPr>
          <w:p w:rsidR="00C32F72" w:rsidRPr="00CA7744" w:rsidRDefault="00C32F72" w:rsidP="001645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 wp14:anchorId="2D6F42EE" wp14:editId="2067808D">
                  <wp:extent cx="2165350" cy="1621790"/>
                  <wp:effectExtent l="0" t="0" r="6350" b="0"/>
                  <wp:docPr id="19" name="Immagin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535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32F72" w:rsidRPr="00CA7744" w:rsidRDefault="00C32F72" w:rsidP="001645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 wp14:anchorId="3DBB5DC4" wp14:editId="5808F90D">
                  <wp:extent cx="2156460" cy="1621790"/>
                  <wp:effectExtent l="0" t="0" r="0" b="0"/>
                  <wp:docPr id="18" name="Immagin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F72" w:rsidRPr="00C32F72" w:rsidTr="001645ED">
        <w:tc>
          <w:tcPr>
            <w:tcW w:w="9639" w:type="dxa"/>
            <w:gridSpan w:val="2"/>
            <w:shd w:val="clear" w:color="auto" w:fill="auto"/>
            <w:hideMark/>
          </w:tcPr>
          <w:p w:rsidR="00C32F72" w:rsidRPr="008B6FA2" w:rsidRDefault="00C32F72" w:rsidP="001645ED">
            <w:pPr>
              <w:pStyle w:val="Paragraphpublishablesummary"/>
              <w:rPr>
                <w:lang w:eastAsia="en-US"/>
              </w:rPr>
            </w:pPr>
            <w:r w:rsidRPr="008B6FA2">
              <w:t>Fig. </w:t>
            </w:r>
            <w:r>
              <w:t>11</w:t>
            </w:r>
            <w:r w:rsidRPr="008B6FA2">
              <w:tab/>
              <w:t xml:space="preserve">Demonstration of harvesting and processing at </w:t>
            </w:r>
            <w:proofErr w:type="spellStart"/>
            <w:r w:rsidRPr="008B6FA2">
              <w:t>PlanC</w:t>
            </w:r>
            <w:proofErr w:type="spellEnd"/>
            <w:r w:rsidRPr="008B6FA2">
              <w:t xml:space="preserve"> (</w:t>
            </w:r>
            <w:proofErr w:type="spellStart"/>
            <w:r w:rsidRPr="008B6FA2">
              <w:t>Aulnoy</w:t>
            </w:r>
            <w:proofErr w:type="spellEnd"/>
            <w:r w:rsidRPr="008B6FA2">
              <w:t>; France)</w:t>
            </w:r>
          </w:p>
        </w:tc>
      </w:tr>
    </w:tbl>
    <w:p w:rsidR="00C32F72" w:rsidRDefault="00C32F72" w:rsidP="00C32F72">
      <w:pPr>
        <w:pStyle w:val="Paragraphpublishablesummary"/>
        <w:rPr>
          <w:lang w:val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986"/>
        <w:gridCol w:w="4653"/>
      </w:tblGrid>
      <w:tr w:rsidR="00C32F72" w:rsidRPr="008B6FA2" w:rsidTr="001645ED">
        <w:trPr>
          <w:trHeight w:val="2551"/>
        </w:trPr>
        <w:tc>
          <w:tcPr>
            <w:tcW w:w="4986" w:type="dxa"/>
            <w:shd w:val="clear" w:color="auto" w:fill="auto"/>
            <w:vAlign w:val="center"/>
            <w:hideMark/>
          </w:tcPr>
          <w:p w:rsidR="00C32F72" w:rsidRPr="00CA7744" w:rsidRDefault="00C32F72" w:rsidP="001645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>
                  <wp:extent cx="3019425" cy="1492250"/>
                  <wp:effectExtent l="0" t="0" r="9525" b="0"/>
                  <wp:docPr id="21" name="Immagin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  <w:shd w:val="clear" w:color="auto" w:fill="auto"/>
            <w:vAlign w:val="center"/>
          </w:tcPr>
          <w:p w:rsidR="00C32F72" w:rsidRPr="00CA7744" w:rsidRDefault="00C32F72" w:rsidP="001645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>
                  <wp:extent cx="1992630" cy="1492250"/>
                  <wp:effectExtent l="0" t="0" r="7620" b="0"/>
                  <wp:docPr id="20" name="Immagin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2630" cy="149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F72" w:rsidRPr="00C32F72" w:rsidTr="001645ED">
        <w:tc>
          <w:tcPr>
            <w:tcW w:w="9639" w:type="dxa"/>
            <w:gridSpan w:val="2"/>
            <w:shd w:val="clear" w:color="auto" w:fill="auto"/>
            <w:hideMark/>
          </w:tcPr>
          <w:p w:rsidR="00C32F72" w:rsidRPr="008B6FA2" w:rsidRDefault="00C32F72" w:rsidP="00C32F72">
            <w:pPr>
              <w:pStyle w:val="Paragraphpublishablesummary"/>
              <w:rPr>
                <w:lang w:eastAsia="en-US"/>
              </w:rPr>
            </w:pPr>
            <w:r w:rsidRPr="008B6FA2">
              <w:t>Fig. 1</w:t>
            </w:r>
            <w:r>
              <w:t>2</w:t>
            </w:r>
            <w:r>
              <w:t xml:space="preserve"> </w:t>
            </w:r>
            <w:r w:rsidRPr="008B6FA2">
              <w:t>Gathering of threshing residues from the sieve section of a hemp combine harvester</w:t>
            </w:r>
          </w:p>
        </w:tc>
      </w:tr>
    </w:tbl>
    <w:p w:rsidR="00C32F72" w:rsidRDefault="00C32F72" w:rsidP="00C32F72">
      <w:pPr>
        <w:pStyle w:val="Paragraphpublishablesummary"/>
        <w:rPr>
          <w:lang w:val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819"/>
        <w:gridCol w:w="4820"/>
      </w:tblGrid>
      <w:tr w:rsidR="00C32F72" w:rsidRPr="008B6FA2" w:rsidTr="001645ED">
        <w:trPr>
          <w:trHeight w:val="2721"/>
        </w:trPr>
        <w:tc>
          <w:tcPr>
            <w:tcW w:w="4819" w:type="dxa"/>
            <w:shd w:val="clear" w:color="auto" w:fill="auto"/>
            <w:vAlign w:val="center"/>
            <w:hideMark/>
          </w:tcPr>
          <w:p w:rsidR="00C32F72" w:rsidRPr="00CA7744" w:rsidRDefault="00C32F72" w:rsidP="001645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>
                  <wp:extent cx="2510155" cy="1621790"/>
                  <wp:effectExtent l="0" t="0" r="4445" b="0"/>
                  <wp:docPr id="23" name="Immagin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155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C32F72" w:rsidRPr="00CA7744" w:rsidRDefault="00C32F72" w:rsidP="001645ED">
            <w:pPr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inline distT="0" distB="0" distL="0" distR="0">
                  <wp:extent cx="2338070" cy="1621790"/>
                  <wp:effectExtent l="0" t="0" r="5080" b="0"/>
                  <wp:docPr id="22" name="Immagin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070" cy="162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2F72" w:rsidRPr="00C32F72" w:rsidTr="001645ED">
        <w:tc>
          <w:tcPr>
            <w:tcW w:w="9639" w:type="dxa"/>
            <w:gridSpan w:val="2"/>
            <w:shd w:val="clear" w:color="auto" w:fill="auto"/>
            <w:hideMark/>
          </w:tcPr>
          <w:p w:rsidR="00C32F72" w:rsidRPr="008B6FA2" w:rsidRDefault="00C32F72" w:rsidP="001645ED">
            <w:pPr>
              <w:pStyle w:val="Paragraphpublishablesummary"/>
              <w:rPr>
                <w:lang w:eastAsia="en-US"/>
              </w:rPr>
            </w:pPr>
            <w:r w:rsidRPr="008B6FA2">
              <w:t>Fig. </w:t>
            </w:r>
            <w:r>
              <w:t>14</w:t>
            </w:r>
            <w:r w:rsidRPr="008B6FA2">
              <w:tab/>
              <w:t>Cutting machine for the harvest of longitudinal hemp</w:t>
            </w:r>
          </w:p>
        </w:tc>
      </w:tr>
    </w:tbl>
    <w:p w:rsidR="00C32F72" w:rsidRDefault="00C32F72" w:rsidP="00C32F72">
      <w:pPr>
        <w:pStyle w:val="Paragraphpublishablesummary"/>
        <w:rPr>
          <w:lang w:val="en-US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3213"/>
        <w:gridCol w:w="3213"/>
        <w:gridCol w:w="3213"/>
      </w:tblGrid>
      <w:tr w:rsidR="00C32F72" w:rsidTr="001645ED">
        <w:trPr>
          <w:trHeight w:val="1701"/>
        </w:trPr>
        <w:tc>
          <w:tcPr>
            <w:tcW w:w="3213" w:type="dxa"/>
            <w:shd w:val="clear" w:color="auto" w:fill="auto"/>
            <w:vAlign w:val="center"/>
          </w:tcPr>
          <w:p w:rsidR="00C32F72" w:rsidRPr="00CA7744" w:rsidRDefault="00C32F72" w:rsidP="001645ED">
            <w:pPr>
              <w:spacing w:line="3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800225" cy="1350010"/>
                  <wp:effectExtent l="0" t="0" r="9525" b="2540"/>
                  <wp:wrapTopAndBottom/>
                  <wp:docPr id="26" name="Immagin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C32F72" w:rsidRPr="00CA7744" w:rsidRDefault="00C32F72" w:rsidP="001645ED">
            <w:pPr>
              <w:spacing w:line="3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800225" cy="1350010"/>
                  <wp:effectExtent l="0" t="0" r="9525" b="2540"/>
                  <wp:wrapTopAndBottom/>
                  <wp:docPr id="25" name="Immagin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213" w:type="dxa"/>
            <w:shd w:val="clear" w:color="auto" w:fill="auto"/>
            <w:vAlign w:val="center"/>
          </w:tcPr>
          <w:p w:rsidR="00C32F72" w:rsidRPr="00CA7744" w:rsidRDefault="00C32F72" w:rsidP="001645ED">
            <w:pPr>
              <w:spacing w:line="300" w:lineRule="exact"/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noProof/>
                <w:lang w:eastAsia="it-IT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center</wp:align>
                  </wp:positionH>
                  <wp:positionV relativeFrom="page">
                    <wp:align>center</wp:align>
                  </wp:positionV>
                  <wp:extent cx="1800225" cy="1350010"/>
                  <wp:effectExtent l="0" t="0" r="9525" b="2540"/>
                  <wp:wrapTopAndBottom/>
                  <wp:docPr id="24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350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32F72" w:rsidRPr="00C32F72" w:rsidTr="001645ED">
        <w:tc>
          <w:tcPr>
            <w:tcW w:w="9639" w:type="dxa"/>
            <w:gridSpan w:val="3"/>
            <w:shd w:val="clear" w:color="auto" w:fill="auto"/>
          </w:tcPr>
          <w:p w:rsidR="00C32F72" w:rsidRDefault="00C32F72" w:rsidP="001645ED">
            <w:pPr>
              <w:pStyle w:val="Paragraphpublishablesummary"/>
              <w:rPr>
                <w:noProof/>
              </w:rPr>
            </w:pPr>
            <w:r>
              <w:rPr>
                <w:noProof/>
              </w:rPr>
              <w:t>Fig. 15</w:t>
            </w:r>
            <w:r>
              <w:rPr>
                <w:noProof/>
              </w:rPr>
              <w:tab/>
              <w:t>Harvest and experimental storage of hemp crop for the “wet line” procedure</w:t>
            </w:r>
          </w:p>
        </w:tc>
      </w:tr>
    </w:tbl>
    <w:p w:rsidR="00C32F72" w:rsidRDefault="00C32F72" w:rsidP="00C32F72">
      <w:pPr>
        <w:pStyle w:val="Paragraphpublishablesummary"/>
        <w:rPr>
          <w:lang w:val="en-US"/>
        </w:rPr>
      </w:pPr>
    </w:p>
    <w:p w:rsidR="00C32F72" w:rsidRPr="00C32F72" w:rsidRDefault="00C32F72">
      <w:pPr>
        <w:rPr>
          <w:lang w:val="en-US"/>
        </w:rPr>
      </w:pPr>
      <w:bookmarkStart w:id="0" w:name="_GoBack"/>
      <w:bookmarkEnd w:id="0"/>
    </w:p>
    <w:sectPr w:rsidR="00C32F72" w:rsidRPr="00C32F72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699"/>
    <w:rsid w:val="00312DD3"/>
    <w:rsid w:val="00C32F72"/>
    <w:rsid w:val="00C90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phpublishablesummary">
    <w:name w:val="Paragraph publishable summary"/>
    <w:basedOn w:val="Normale"/>
    <w:qFormat/>
    <w:rsid w:val="00C32F72"/>
    <w:pPr>
      <w:autoSpaceDE w:val="0"/>
      <w:autoSpaceDN w:val="0"/>
      <w:adjustRightInd w:val="0"/>
      <w:spacing w:after="0" w:line="30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2F7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agraphpublishablesummary">
    <w:name w:val="Paragraph publishable summary"/>
    <w:basedOn w:val="Normale"/>
    <w:qFormat/>
    <w:rsid w:val="00C32F72"/>
    <w:pPr>
      <w:autoSpaceDE w:val="0"/>
      <w:autoSpaceDN w:val="0"/>
      <w:adjustRightInd w:val="0"/>
      <w:spacing w:after="0" w:line="30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3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32F7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hart" Target="charts/chart3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png"/><Relationship Id="rId12" Type="http://schemas.openxmlformats.org/officeDocument/2006/relationships/chart" Target="charts/chart2.xml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emf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hart" Target="charts/chart1.xml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10" Type="http://schemas.openxmlformats.org/officeDocument/2006/relationships/image" Target="media/image6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4.xml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ropbox\Dropbox\Photosynthesis%20data\LP9\NITROGEN\Data%20Original%20-%20Copy.xlsx" TargetMode="External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Dropbox\Dropbox\Photosynthesis%20data\LP9\NITROGEN\Data%20Original%20-%20Copy.xlsx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oleObject" Target="file:///E:\PhD\Paper%20writing\Leaf%20pn\Data\LP11\DATA_t_11.xlsx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oleObject" Target="file:///E:\PhD\Paper%20writing\Leaf%20pn\Data\LP11\DATA_t_11.xlsx" TargetMode="External"/><Relationship Id="rId1" Type="http://schemas.openxmlformats.org/officeDocument/2006/relationships/themeOverride" Target="../theme/themeOverrid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 sz="1100"/>
              <a:t>(</a:t>
            </a:r>
            <a:r>
              <a:rPr lang="en-GB" sz="1100" b="1"/>
              <a:t>a</a:t>
            </a:r>
            <a:r>
              <a:rPr lang="en-GB" sz="1100"/>
              <a:t>)</a:t>
            </a:r>
          </a:p>
        </c:rich>
      </c:tx>
      <c:layout>
        <c:manualLayout>
          <c:xMode val="edge"/>
          <c:yMode val="edge"/>
          <c:x val="0.21921711274514061"/>
          <c:y val="9.408997353719494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7754595821691643"/>
          <c:y val="9.3718569229657864E-2"/>
          <c:w val="0.76386049022098035"/>
          <c:h val="0.71680384678769304"/>
        </c:manualLayout>
      </c:layout>
      <c:scatterChart>
        <c:scatterStyle val="lineMarker"/>
        <c:varyColors val="0"/>
        <c:ser>
          <c:idx val="0"/>
          <c:order val="0"/>
          <c:tx>
            <c:v>All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0.194432801743222"/>
                  <c:y val="-0.13328591512511184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i="1" baseline="0"/>
                      <a:t>R</a:t>
                    </a:r>
                    <a:r>
                      <a:rPr lang="en-US" sz="1000" baseline="-25000"/>
                      <a:t>dk</a:t>
                    </a:r>
                    <a:r>
                      <a:rPr lang="en-US" sz="1000" baseline="0"/>
                      <a:t> = 0.74</a:t>
                    </a:r>
                    <a:r>
                      <a:rPr lang="en-US" sz="1000" i="1" baseline="0"/>
                      <a:t>SLN</a:t>
                    </a:r>
                    <a:r>
                      <a:rPr lang="en-US" sz="1000" baseline="0"/>
                      <a:t> - 0.24
</a:t>
                    </a:r>
                    <a:r>
                      <a:rPr lang="en-US" sz="1000" i="1" baseline="0"/>
                      <a:t>r</a:t>
                    </a:r>
                    <a:r>
                      <a:rPr lang="en-US" sz="1000" baseline="0"/>
                      <a:t>² = 0.48</a:t>
                    </a:r>
                    <a:endParaRPr lang="en-US" sz="10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Maximum!$K$2:$K$19</c:f>
              <c:numCache>
                <c:formatCode>0.0</c:formatCode>
                <c:ptCount val="18"/>
                <c:pt idx="0">
                  <c:v>0.68410840124664185</c:v>
                </c:pt>
                <c:pt idx="1">
                  <c:v>0.6141550877702554</c:v>
                </c:pt>
                <c:pt idx="2">
                  <c:v>0.65893246606478562</c:v>
                </c:pt>
                <c:pt idx="3">
                  <c:v>0.75014213477435232</c:v>
                </c:pt>
                <c:pt idx="4">
                  <c:v>0.69495387942774234</c:v>
                </c:pt>
                <c:pt idx="5">
                  <c:v>0.88532993969491569</c:v>
                </c:pt>
                <c:pt idx="6">
                  <c:v>1.1598938601956543</c:v>
                </c:pt>
                <c:pt idx="7">
                  <c:v>1.1733583127736291</c:v>
                </c:pt>
                <c:pt idx="8">
                  <c:v>1.3352500756241883</c:v>
                </c:pt>
                <c:pt idx="9">
                  <c:v>0.84105347049608925</c:v>
                </c:pt>
                <c:pt idx="10">
                  <c:v>0.7361252500961506</c:v>
                </c:pt>
                <c:pt idx="11">
                  <c:v>1.0283535166501983</c:v>
                </c:pt>
                <c:pt idx="12">
                  <c:v>1.348225032764816</c:v>
                </c:pt>
                <c:pt idx="13">
                  <c:v>1.0862287143454741</c:v>
                </c:pt>
                <c:pt idx="14">
                  <c:v>1.3229686595176362</c:v>
                </c:pt>
                <c:pt idx="15">
                  <c:v>1.6574325904355105</c:v>
                </c:pt>
                <c:pt idx="16">
                  <c:v>1.9223707776217969</c:v>
                </c:pt>
                <c:pt idx="17">
                  <c:v>1.6695102447359436</c:v>
                </c:pt>
              </c:numCache>
            </c:numRef>
          </c:xVal>
          <c:yVal>
            <c:numRef>
              <c:f>Maximum!$I$2:$I$19</c:f>
              <c:numCache>
                <c:formatCode>General</c:formatCode>
                <c:ptCount val="18"/>
                <c:pt idx="0">
                  <c:v>0.17240863103172543</c:v>
                </c:pt>
                <c:pt idx="1">
                  <c:v>0.41762382159137185</c:v>
                </c:pt>
                <c:pt idx="2">
                  <c:v>-4.8585150405212774E-2</c:v>
                </c:pt>
                <c:pt idx="3">
                  <c:v>0.23193972178097017</c:v>
                </c:pt>
                <c:pt idx="4">
                  <c:v>0.13467327352228581</c:v>
                </c:pt>
                <c:pt idx="5">
                  <c:v>0.34382567144623732</c:v>
                </c:pt>
                <c:pt idx="6">
                  <c:v>0.36567738406396377</c:v>
                </c:pt>
                <c:pt idx="7">
                  <c:v>0.43016715903906999</c:v>
                </c:pt>
                <c:pt idx="8">
                  <c:v>0.95648516693891783</c:v>
                </c:pt>
                <c:pt idx="9">
                  <c:v>0.22381494919158518</c:v>
                </c:pt>
                <c:pt idx="10">
                  <c:v>0.68265222300963035</c:v>
                </c:pt>
                <c:pt idx="11">
                  <c:v>0.27919852757112834</c:v>
                </c:pt>
                <c:pt idx="12">
                  <c:v>0.57542953106386863</c:v>
                </c:pt>
                <c:pt idx="13">
                  <c:v>1.502855377511743</c:v>
                </c:pt>
                <c:pt idx="14">
                  <c:v>0.88259926679792589</c:v>
                </c:pt>
                <c:pt idx="15">
                  <c:v>1.0209781938001676</c:v>
                </c:pt>
                <c:pt idx="16">
                  <c:v>1.25484609923795</c:v>
                </c:pt>
                <c:pt idx="17">
                  <c:v>0.71830719410763899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ED5-4465-9A00-AC6ABB5A2390}"/>
            </c:ext>
          </c:extLst>
        </c:ser>
        <c:ser>
          <c:idx val="1"/>
          <c:order val="1"/>
          <c:tx>
            <c:v>Middle leaf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Maximum!$K$2:$K$10</c:f>
              <c:numCache>
                <c:formatCode>0.0</c:formatCode>
                <c:ptCount val="9"/>
                <c:pt idx="0">
                  <c:v>0.68410840124664185</c:v>
                </c:pt>
                <c:pt idx="1">
                  <c:v>0.6141550877702554</c:v>
                </c:pt>
                <c:pt idx="2">
                  <c:v>0.65893246606478562</c:v>
                </c:pt>
                <c:pt idx="3">
                  <c:v>0.75014213477435232</c:v>
                </c:pt>
                <c:pt idx="4">
                  <c:v>0.69495387942774234</c:v>
                </c:pt>
                <c:pt idx="5">
                  <c:v>0.88532993969491569</c:v>
                </c:pt>
                <c:pt idx="6">
                  <c:v>1.1598938601956543</c:v>
                </c:pt>
                <c:pt idx="7">
                  <c:v>1.1733583127736291</c:v>
                </c:pt>
                <c:pt idx="8">
                  <c:v>1.3352500756241883</c:v>
                </c:pt>
              </c:numCache>
            </c:numRef>
          </c:xVal>
          <c:yVal>
            <c:numRef>
              <c:f>Maximum!$I$2:$I$10</c:f>
              <c:numCache>
                <c:formatCode>General</c:formatCode>
                <c:ptCount val="9"/>
                <c:pt idx="0">
                  <c:v>0.17240863103172543</c:v>
                </c:pt>
                <c:pt idx="1">
                  <c:v>0.41762382159137185</c:v>
                </c:pt>
                <c:pt idx="2">
                  <c:v>-4.8585150405212774E-2</c:v>
                </c:pt>
                <c:pt idx="3">
                  <c:v>0.23193972178097017</c:v>
                </c:pt>
                <c:pt idx="4">
                  <c:v>0.13467327352228581</c:v>
                </c:pt>
                <c:pt idx="5">
                  <c:v>0.34382567144623732</c:v>
                </c:pt>
                <c:pt idx="6">
                  <c:v>0.36567738406396377</c:v>
                </c:pt>
                <c:pt idx="7">
                  <c:v>0.43016715903906999</c:v>
                </c:pt>
                <c:pt idx="8">
                  <c:v>0.95648516693891783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ED5-4465-9A00-AC6ABB5A2390}"/>
            </c:ext>
          </c:extLst>
        </c:ser>
        <c:ser>
          <c:idx val="2"/>
          <c:order val="2"/>
          <c:tx>
            <c:v>Top leaf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Maximum!$K$11:$K$19</c:f>
              <c:numCache>
                <c:formatCode>0.0</c:formatCode>
                <c:ptCount val="9"/>
                <c:pt idx="0">
                  <c:v>0.84105347049608925</c:v>
                </c:pt>
                <c:pt idx="1">
                  <c:v>0.7361252500961506</c:v>
                </c:pt>
                <c:pt idx="2">
                  <c:v>1.0283535166501983</c:v>
                </c:pt>
                <c:pt idx="3">
                  <c:v>1.348225032764816</c:v>
                </c:pt>
                <c:pt idx="4">
                  <c:v>1.0862287143454741</c:v>
                </c:pt>
                <c:pt idx="5">
                  <c:v>1.3229686595176362</c:v>
                </c:pt>
                <c:pt idx="6">
                  <c:v>1.6574325904355105</c:v>
                </c:pt>
                <c:pt idx="7">
                  <c:v>1.9223707776217969</c:v>
                </c:pt>
                <c:pt idx="8">
                  <c:v>1.6695102447359436</c:v>
                </c:pt>
              </c:numCache>
            </c:numRef>
          </c:xVal>
          <c:yVal>
            <c:numRef>
              <c:f>Maximum!$I$11:$I$19</c:f>
              <c:numCache>
                <c:formatCode>General</c:formatCode>
                <c:ptCount val="9"/>
                <c:pt idx="0">
                  <c:v>0.22381494919158518</c:v>
                </c:pt>
                <c:pt idx="1">
                  <c:v>0.68265222300963035</c:v>
                </c:pt>
                <c:pt idx="2">
                  <c:v>0.27919852757112834</c:v>
                </c:pt>
                <c:pt idx="3">
                  <c:v>0.57542953106386863</c:v>
                </c:pt>
                <c:pt idx="4">
                  <c:v>1.502855377511743</c:v>
                </c:pt>
                <c:pt idx="5">
                  <c:v>0.88259926679792589</c:v>
                </c:pt>
                <c:pt idx="6">
                  <c:v>1.0209781938001676</c:v>
                </c:pt>
                <c:pt idx="7">
                  <c:v>1.25484609923795</c:v>
                </c:pt>
                <c:pt idx="8">
                  <c:v>0.71830719410763899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ED5-4465-9A00-AC6ABB5A23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280768"/>
        <c:axId val="141287424"/>
      </c:scatterChart>
      <c:valAx>
        <c:axId val="1412807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 i="1"/>
                  <a:t>SLN</a:t>
                </a:r>
                <a:r>
                  <a:rPr lang="en-GB"/>
                  <a:t> (g N m</a:t>
                </a:r>
                <a:r>
                  <a:rPr lang="en-GB" baseline="30000"/>
                  <a:t>-2</a:t>
                </a:r>
                <a:r>
                  <a:rPr lang="en-GB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in"/>
        <c:minorTickMark val="none"/>
        <c:tickLblPos val="nextTo"/>
        <c:spPr>
          <a:noFill/>
          <a:ln w="889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141287424"/>
        <c:crosses val="autoZero"/>
        <c:crossBetween val="midCat"/>
        <c:majorUnit val="0.5"/>
      </c:valAx>
      <c:valAx>
        <c:axId val="141287424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i="1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</a:t>
                </a:r>
                <a:r>
                  <a:rPr lang="en-US" i="0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dk</a:t>
                </a:r>
                <a:r>
                  <a:rPr lang="en-US" i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</a:t>
                </a:r>
                <a:r>
                  <a:rPr lang="el-GR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μ</a:t>
                </a:r>
                <a:r>
                  <a:rPr lang="en-US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mol m</a:t>
                </a:r>
                <a:r>
                  <a:rPr lang="en-US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-2</a:t>
                </a:r>
                <a:r>
                  <a:rPr lang="en-US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s</a:t>
                </a:r>
                <a:r>
                  <a:rPr lang="en-US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US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GB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in"/>
        <c:minorTickMark val="none"/>
        <c:tickLblPos val="nextTo"/>
        <c:spPr>
          <a:noFill/>
          <a:ln w="889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141280768"/>
        <c:crosses val="autoZero"/>
        <c:crossBetween val="midCat"/>
        <c:majorUnit val="0.5"/>
      </c:valAx>
      <c:spPr>
        <a:noFill/>
        <a:ln w="8890">
          <a:solidFill>
            <a:schemeClr val="tx1"/>
          </a:solidFill>
        </a:ln>
        <a:effectLst/>
      </c:spPr>
    </c:plotArea>
    <c:legend>
      <c:legendPos val="r"/>
      <c:legendEntry>
        <c:idx val="0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1146602540173112"/>
          <c:y val="0.58771968411328768"/>
          <c:w val="0.35766262403528115"/>
          <c:h val="0.19608355236470529"/>
        </c:manualLayout>
      </c:layout>
      <c:overlay val="0"/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 sz="1100"/>
              <a:t>(</a:t>
            </a:r>
            <a:r>
              <a:rPr lang="en-GB" sz="1100" b="1"/>
              <a:t>b</a:t>
            </a:r>
            <a:r>
              <a:rPr lang="en-GB" sz="1100"/>
              <a:t>)</a:t>
            </a:r>
          </a:p>
        </c:rich>
      </c:tx>
      <c:layout>
        <c:manualLayout>
          <c:xMode val="edge"/>
          <c:yMode val="edge"/>
          <c:x val="0.21039682608582413"/>
          <c:y val="8.8209350191120264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297979841825172"/>
          <c:y val="9.1987303410066987E-2"/>
          <c:w val="0.77898146660238898"/>
          <c:h val="0.71680384678769304"/>
        </c:manualLayout>
      </c:layout>
      <c:scatterChart>
        <c:scatterStyle val="lineMarker"/>
        <c:varyColors val="0"/>
        <c:ser>
          <c:idx val="0"/>
          <c:order val="0"/>
          <c:tx>
            <c:v>All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5"/>
            <c:spPr>
              <a:noFill/>
              <a:ln w="9525">
                <a:noFill/>
              </a:ln>
              <a:effectLst/>
            </c:spPr>
          </c:marker>
          <c:trendline>
            <c:spPr>
              <a:ln w="19050" cap="rnd">
                <a:solidFill>
                  <a:schemeClr val="tx1"/>
                </a:solidFill>
                <a:prstDash val="sysDot"/>
              </a:ln>
              <a:effectLst/>
            </c:spPr>
            <c:trendlineType val="linear"/>
            <c:dispRSqr val="1"/>
            <c:dispEq val="1"/>
            <c:trendlineLbl>
              <c:layout>
                <c:manualLayout>
                  <c:x val="-8.2373143268888518E-2"/>
                  <c:y val="0.43028243198503452"/>
                </c:manualLayout>
              </c:layout>
              <c:tx>
                <c:rich>
                  <a:bodyPr rot="0" spcFirstLastPara="1" vertOverflow="ellipsis" vert="horz" wrap="square" anchor="ctr" anchorCtr="1"/>
                  <a:lstStyle/>
                  <a:p>
                    <a:pPr>
                      <a:defRPr sz="1000" b="0" i="0" u="none" strike="noStrike" kern="1200" baseline="0">
                        <a:solidFill>
                          <a:sysClr val="windowText" lastClr="000000"/>
                        </a:solidFill>
                        <a:latin typeface="Times New Roman" panose="02020603050405020304" pitchFamily="18" charset="0"/>
                        <a:ea typeface="+mn-ea"/>
                        <a:cs typeface="Times New Roman" panose="02020603050405020304" pitchFamily="18" charset="0"/>
                      </a:defRPr>
                    </a:pPr>
                    <a:r>
                      <a:rPr lang="en-US" sz="1000" i="1" baseline="0"/>
                      <a:t>A</a:t>
                    </a:r>
                    <a:r>
                      <a:rPr lang="en-US" sz="1000" baseline="-25000"/>
                      <a:t>max</a:t>
                    </a:r>
                    <a:r>
                      <a:rPr lang="en-US" sz="1000" baseline="0"/>
                      <a:t> = 12.41</a:t>
                    </a:r>
                    <a:r>
                      <a:rPr lang="en-US" sz="1000" i="1" baseline="0"/>
                      <a:t>SLN</a:t>
                    </a:r>
                    <a:r>
                      <a:rPr lang="en-US" sz="1000" baseline="0"/>
                      <a:t> + 6.58
</a:t>
                    </a:r>
                    <a:r>
                      <a:rPr lang="en-US" sz="1000" i="1" baseline="0"/>
                      <a:t>r</a:t>
                    </a:r>
                    <a:r>
                      <a:rPr lang="en-US" sz="1000" baseline="0"/>
                      <a:t>² = 0.86</a:t>
                    </a:r>
                    <a:endParaRPr lang="en-US" sz="1000"/>
                  </a:p>
                </c:rich>
              </c:tx>
              <c:numFmt formatCode="General" sourceLinked="0"/>
              <c:spPr>
                <a:noFill/>
                <a:ln>
                  <a:noFill/>
                </a:ln>
                <a:effectLst/>
              </c:spPr>
            </c:trendlineLbl>
          </c:trendline>
          <c:xVal>
            <c:numRef>
              <c:f>Maximum!$J$23:$J$40</c:f>
              <c:numCache>
                <c:formatCode>0.0</c:formatCode>
                <c:ptCount val="18"/>
                <c:pt idx="0">
                  <c:v>0.68410840124664185</c:v>
                </c:pt>
                <c:pt idx="1">
                  <c:v>0.6141550877702554</c:v>
                </c:pt>
                <c:pt idx="2">
                  <c:v>0.65893246606478562</c:v>
                </c:pt>
                <c:pt idx="3">
                  <c:v>0.75014213477435232</c:v>
                </c:pt>
                <c:pt idx="4">
                  <c:v>0.69495387942774234</c:v>
                </c:pt>
                <c:pt idx="5">
                  <c:v>0.88532993969491569</c:v>
                </c:pt>
                <c:pt idx="6">
                  <c:v>1.1598938601956543</c:v>
                </c:pt>
                <c:pt idx="7">
                  <c:v>1.1733583127736291</c:v>
                </c:pt>
                <c:pt idx="8">
                  <c:v>1.3352500756241883</c:v>
                </c:pt>
                <c:pt idx="9">
                  <c:v>0.84105347049608925</c:v>
                </c:pt>
                <c:pt idx="10">
                  <c:v>0.7361252500961506</c:v>
                </c:pt>
                <c:pt idx="11">
                  <c:v>1.0283535166501983</c:v>
                </c:pt>
                <c:pt idx="12">
                  <c:v>1.348225032764816</c:v>
                </c:pt>
                <c:pt idx="13">
                  <c:v>1.0862287143454741</c:v>
                </c:pt>
                <c:pt idx="14">
                  <c:v>1.3229686595176362</c:v>
                </c:pt>
                <c:pt idx="15">
                  <c:v>1.6574325904355105</c:v>
                </c:pt>
                <c:pt idx="16">
                  <c:v>1.9223707776217969</c:v>
                </c:pt>
                <c:pt idx="17">
                  <c:v>1.6695102447359436</c:v>
                </c:pt>
              </c:numCache>
            </c:numRef>
          </c:xVal>
          <c:yVal>
            <c:numRef>
              <c:f>Maximum!$H$23:$H$40</c:f>
              <c:numCache>
                <c:formatCode>General</c:formatCode>
                <c:ptCount val="18"/>
                <c:pt idx="0">
                  <c:v>15.270918270778107</c:v>
                </c:pt>
                <c:pt idx="1">
                  <c:v>15.451690318981276</c:v>
                </c:pt>
                <c:pt idx="2">
                  <c:v>13.560064042077505</c:v>
                </c:pt>
                <c:pt idx="3">
                  <c:v>13.512947904274263</c:v>
                </c:pt>
                <c:pt idx="4">
                  <c:v>14.835028124247644</c:v>
                </c:pt>
                <c:pt idx="5">
                  <c:v>16.849092445441975</c:v>
                </c:pt>
                <c:pt idx="6">
                  <c:v>19.23437889427526</c:v>
                </c:pt>
                <c:pt idx="7">
                  <c:v>21.571334147448656</c:v>
                </c:pt>
                <c:pt idx="8">
                  <c:v>21.274460734790281</c:v>
                </c:pt>
                <c:pt idx="9">
                  <c:v>16.201972608954819</c:v>
                </c:pt>
                <c:pt idx="10">
                  <c:v>18.609041126166456</c:v>
                </c:pt>
                <c:pt idx="11">
                  <c:v>17.472683655124868</c:v>
                </c:pt>
                <c:pt idx="12">
                  <c:v>23.355933866306341</c:v>
                </c:pt>
                <c:pt idx="13">
                  <c:v>23.925518392488637</c:v>
                </c:pt>
                <c:pt idx="14">
                  <c:v>24.520021439777892</c:v>
                </c:pt>
                <c:pt idx="15">
                  <c:v>25.358293629156258</c:v>
                </c:pt>
                <c:pt idx="16">
                  <c:v>28.849565000010095</c:v>
                </c:pt>
                <c:pt idx="17">
                  <c:v>31.239931261276393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2FC7-4C2B-935D-D8D7488B8838}"/>
            </c:ext>
          </c:extLst>
        </c:ser>
        <c:ser>
          <c:idx val="1"/>
          <c:order val="1"/>
          <c:tx>
            <c:v>Middle leaf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chemeClr val="bg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Maximum!$J$23:$J$31</c:f>
              <c:numCache>
                <c:formatCode>0.0</c:formatCode>
                <c:ptCount val="9"/>
                <c:pt idx="0">
                  <c:v>0.68410840124664185</c:v>
                </c:pt>
                <c:pt idx="1">
                  <c:v>0.6141550877702554</c:v>
                </c:pt>
                <c:pt idx="2">
                  <c:v>0.65893246606478562</c:v>
                </c:pt>
                <c:pt idx="3">
                  <c:v>0.75014213477435232</c:v>
                </c:pt>
                <c:pt idx="4">
                  <c:v>0.69495387942774234</c:v>
                </c:pt>
                <c:pt idx="5">
                  <c:v>0.88532993969491569</c:v>
                </c:pt>
                <c:pt idx="6">
                  <c:v>1.1598938601956543</c:v>
                </c:pt>
                <c:pt idx="7">
                  <c:v>1.1733583127736291</c:v>
                </c:pt>
                <c:pt idx="8">
                  <c:v>1.3352500756241883</c:v>
                </c:pt>
              </c:numCache>
            </c:numRef>
          </c:xVal>
          <c:yVal>
            <c:numRef>
              <c:f>Maximum!$H$23:$H$31</c:f>
              <c:numCache>
                <c:formatCode>General</c:formatCode>
                <c:ptCount val="9"/>
                <c:pt idx="0">
                  <c:v>15.270918270778107</c:v>
                </c:pt>
                <c:pt idx="1">
                  <c:v>15.451690318981276</c:v>
                </c:pt>
                <c:pt idx="2">
                  <c:v>13.560064042077505</c:v>
                </c:pt>
                <c:pt idx="3">
                  <c:v>13.512947904274263</c:v>
                </c:pt>
                <c:pt idx="4">
                  <c:v>14.835028124247644</c:v>
                </c:pt>
                <c:pt idx="5">
                  <c:v>16.849092445441975</c:v>
                </c:pt>
                <c:pt idx="6">
                  <c:v>19.23437889427526</c:v>
                </c:pt>
                <c:pt idx="7">
                  <c:v>21.571334147448656</c:v>
                </c:pt>
                <c:pt idx="8">
                  <c:v>21.274460734790281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2FC7-4C2B-935D-D8D7488B8838}"/>
            </c:ext>
          </c:extLst>
        </c:ser>
        <c:ser>
          <c:idx val="2"/>
          <c:order val="2"/>
          <c:tx>
            <c:v>Top leaf</c:v>
          </c:tx>
          <c:spPr>
            <a:ln w="25400" cap="rnd">
              <a:noFill/>
              <a:round/>
            </a:ln>
            <a:effectLst/>
          </c:spPr>
          <c:marker>
            <c:symbol val="circle"/>
            <c:size val="8"/>
            <c:spPr>
              <a:solidFill>
                <a:schemeClr val="tx1"/>
              </a:solidFill>
              <a:ln w="9525">
                <a:solidFill>
                  <a:schemeClr val="tx1"/>
                </a:solidFill>
              </a:ln>
              <a:effectLst/>
            </c:spPr>
          </c:marker>
          <c:xVal>
            <c:numRef>
              <c:f>Maximum!$J$32:$J$40</c:f>
              <c:numCache>
                <c:formatCode>0.0</c:formatCode>
                <c:ptCount val="9"/>
                <c:pt idx="0">
                  <c:v>0.84105347049608925</c:v>
                </c:pt>
                <c:pt idx="1">
                  <c:v>0.7361252500961506</c:v>
                </c:pt>
                <c:pt idx="2">
                  <c:v>1.0283535166501983</c:v>
                </c:pt>
                <c:pt idx="3">
                  <c:v>1.348225032764816</c:v>
                </c:pt>
                <c:pt idx="4">
                  <c:v>1.0862287143454741</c:v>
                </c:pt>
                <c:pt idx="5">
                  <c:v>1.3229686595176362</c:v>
                </c:pt>
                <c:pt idx="6">
                  <c:v>1.6574325904355105</c:v>
                </c:pt>
                <c:pt idx="7">
                  <c:v>1.9223707776217969</c:v>
                </c:pt>
                <c:pt idx="8">
                  <c:v>1.6695102447359436</c:v>
                </c:pt>
              </c:numCache>
            </c:numRef>
          </c:xVal>
          <c:yVal>
            <c:numRef>
              <c:f>Maximum!$H$32:$H$40</c:f>
              <c:numCache>
                <c:formatCode>General</c:formatCode>
                <c:ptCount val="9"/>
                <c:pt idx="0">
                  <c:v>16.201972608954819</c:v>
                </c:pt>
                <c:pt idx="1">
                  <c:v>18.609041126166456</c:v>
                </c:pt>
                <c:pt idx="2">
                  <c:v>17.472683655124868</c:v>
                </c:pt>
                <c:pt idx="3">
                  <c:v>23.355933866306341</c:v>
                </c:pt>
                <c:pt idx="4">
                  <c:v>23.925518392488637</c:v>
                </c:pt>
                <c:pt idx="5">
                  <c:v>24.520021439777892</c:v>
                </c:pt>
                <c:pt idx="6">
                  <c:v>25.358293629156258</c:v>
                </c:pt>
                <c:pt idx="7">
                  <c:v>28.849565000010095</c:v>
                </c:pt>
                <c:pt idx="8">
                  <c:v>31.239931261276393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2FC7-4C2B-935D-D8D7488B88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9468416"/>
        <c:axId val="119470720"/>
      </c:scatterChart>
      <c:valAx>
        <c:axId val="119468416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 i="1"/>
                  <a:t>SLN</a:t>
                </a:r>
                <a:r>
                  <a:rPr lang="en-GB"/>
                  <a:t> (g N m</a:t>
                </a:r>
                <a:r>
                  <a:rPr lang="en-GB" baseline="30000"/>
                  <a:t>-2</a:t>
                </a:r>
                <a:r>
                  <a:rPr lang="en-GB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.0" sourceLinked="0"/>
        <c:majorTickMark val="in"/>
        <c:minorTickMark val="none"/>
        <c:tickLblPos val="nextTo"/>
        <c:spPr>
          <a:noFill/>
          <a:ln w="889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119470720"/>
        <c:crosses val="autoZero"/>
        <c:crossBetween val="midCat"/>
        <c:majorUnit val="0.5"/>
      </c:valAx>
      <c:valAx>
        <c:axId val="119470720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i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A</a:t>
                </a:r>
                <a:r>
                  <a:rPr lang="en-US" i="0" baseline="-25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max</a:t>
                </a:r>
                <a:r>
                  <a:rPr lang="en-US" i="1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</a:t>
                </a:r>
                <a:r>
                  <a:rPr lang="en-US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(</a:t>
                </a:r>
                <a:r>
                  <a:rPr lang="el-GR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μ</a:t>
                </a:r>
                <a:r>
                  <a:rPr lang="en-US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mol m</a:t>
                </a:r>
                <a:r>
                  <a:rPr lang="en-US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-2</a:t>
                </a:r>
                <a:r>
                  <a:rPr lang="en-US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s</a:t>
                </a:r>
                <a:r>
                  <a:rPr lang="en-US" i="0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-1</a:t>
                </a:r>
                <a:r>
                  <a:rPr lang="en-US" i="0" baseline="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GB" i="0"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in"/>
        <c:minorTickMark val="none"/>
        <c:tickLblPos val="nextTo"/>
        <c:spPr>
          <a:noFill/>
          <a:ln w="889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119468416"/>
        <c:crosses val="autoZero"/>
        <c:crossBetween val="midCat"/>
        <c:majorUnit val="10"/>
      </c:valAx>
      <c:spPr>
        <a:noFill/>
        <a:ln w="8890">
          <a:solidFill>
            <a:schemeClr val="tx1"/>
          </a:solidFill>
        </a:ln>
        <a:effectLst/>
      </c:spPr>
    </c:plotArea>
    <c:legend>
      <c:legendPos val="r"/>
      <c:legendEntry>
        <c:idx val="0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62205661998975592"/>
          <c:y val="0.60084690237007643"/>
          <c:w val="0.30297094340605435"/>
          <c:h val="0.181585805655732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ysClr val="windowText" lastClr="000000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it-IT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vert="horz"/>
          <a:lstStyle/>
          <a:p>
            <a:pPr>
              <a:defRPr/>
            </a:pPr>
            <a:r>
              <a:rPr lang="en-GB"/>
              <a:t>(</a:t>
            </a:r>
            <a:r>
              <a:rPr lang="en-GB" b="1"/>
              <a:t>c</a:t>
            </a:r>
            <a:r>
              <a:rPr lang="en-GB"/>
              <a:t>)</a:t>
            </a:r>
          </a:p>
        </c:rich>
      </c:tx>
      <c:layout>
        <c:manualLayout>
          <c:xMode val="edge"/>
          <c:yMode val="edge"/>
          <c:x val="0.19672538176388374"/>
          <c:y val="5.4102197825095441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563213501289184"/>
          <c:y val="6.2501302303398495E-2"/>
          <c:w val="0.78585628836086774"/>
          <c:h val="0.7480708545657021"/>
        </c:manualLayout>
      </c:layout>
      <c:scatterChart>
        <c:scatterStyle val="lineMarker"/>
        <c:varyColors val="0"/>
        <c:ser>
          <c:idx val="0"/>
          <c:order val="0"/>
          <c:spPr>
            <a:ln w="28575" cap="rnd">
              <a:noFill/>
              <a:round/>
            </a:ln>
            <a:effectLst/>
          </c:spPr>
          <c:marker>
            <c:symbol val="circle"/>
            <c:size val="8"/>
            <c:spPr>
              <a:noFill/>
              <a:ln w="8890">
                <a:solidFill>
                  <a:schemeClr val="tx1"/>
                </a:solidFill>
              </a:ln>
              <a:effectLst/>
            </c:spPr>
          </c:marker>
          <c:errBars>
            <c:errDir val="y"/>
            <c:errBarType val="both"/>
            <c:errValType val="cust"/>
            <c:noEndCap val="0"/>
            <c:plus>
              <c:numRef>
                <c:f>Rdk!$M$20:$M$25</c:f>
                <c:numCache>
                  <c:formatCode>General</c:formatCode>
                  <c:ptCount val="6"/>
                  <c:pt idx="0">
                    <c:v>0.60267342269321977</c:v>
                  </c:pt>
                  <c:pt idx="1">
                    <c:v>0.14855927292292492</c:v>
                  </c:pt>
                  <c:pt idx="2">
                    <c:v>0.30577110441701028</c:v>
                  </c:pt>
                  <c:pt idx="3">
                    <c:v>0.51139136385851192</c:v>
                  </c:pt>
                  <c:pt idx="4">
                    <c:v>0.25051412591037309</c:v>
                  </c:pt>
                  <c:pt idx="5">
                    <c:v>0.4748507467211906</c:v>
                  </c:pt>
                </c:numCache>
              </c:numRef>
            </c:plus>
            <c:minus>
              <c:numRef>
                <c:f>Rdk!$M$20:$M$25</c:f>
                <c:numCache>
                  <c:formatCode>General</c:formatCode>
                  <c:ptCount val="6"/>
                  <c:pt idx="0">
                    <c:v>0.60267342269321977</c:v>
                  </c:pt>
                  <c:pt idx="1">
                    <c:v>0.14855927292292492</c:v>
                  </c:pt>
                  <c:pt idx="2">
                    <c:v>0.30577110441701028</c:v>
                  </c:pt>
                  <c:pt idx="3">
                    <c:v>0.51139136385851192</c:v>
                  </c:pt>
                  <c:pt idx="4">
                    <c:v>0.25051412591037309</c:v>
                  </c:pt>
                  <c:pt idx="5">
                    <c:v>0.4748507467211906</c:v>
                  </c:pt>
                </c:numCache>
              </c:numRef>
            </c:minus>
          </c:errBars>
          <c:xVal>
            <c:numRef>
              <c:f>Rdk!$L$2:$L$7</c:f>
              <c:numCache>
                <c:formatCode>General</c:formatCode>
                <c:ptCount val="6"/>
                <c:pt idx="0">
                  <c:v>15</c:v>
                </c:pt>
                <c:pt idx="1">
                  <c:v>20</c:v>
                </c:pt>
                <c:pt idx="2">
                  <c:v>25</c:v>
                </c:pt>
                <c:pt idx="3">
                  <c:v>30</c:v>
                </c:pt>
                <c:pt idx="4">
                  <c:v>35</c:v>
                </c:pt>
                <c:pt idx="5">
                  <c:v>40</c:v>
                </c:pt>
              </c:numCache>
            </c:numRef>
          </c:xVal>
          <c:yVal>
            <c:numRef>
              <c:f>Rdk!$M$2:$M$7</c:f>
              <c:numCache>
                <c:formatCode>0.00</c:formatCode>
                <c:ptCount val="6"/>
                <c:pt idx="0">
                  <c:v>1.71667840861528</c:v>
                </c:pt>
                <c:pt idx="1">
                  <c:v>1.1997887372304299</c:v>
                </c:pt>
                <c:pt idx="2">
                  <c:v>1.8297205253700699</c:v>
                </c:pt>
                <c:pt idx="3">
                  <c:v>2.50610523697907</c:v>
                </c:pt>
                <c:pt idx="4">
                  <c:v>2.5956200401747398</c:v>
                </c:pt>
                <c:pt idx="5">
                  <c:v>3.2187093451901698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9A81-49D5-9B5C-70AB16AE5D6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0976896"/>
        <c:axId val="140978816"/>
      </c:scatterChart>
      <c:valAx>
        <c:axId val="140976896"/>
        <c:scaling>
          <c:orientation val="minMax"/>
          <c:max val="51"/>
          <c:min val="0"/>
        </c:scaling>
        <c:delete val="0"/>
        <c:axPos val="b"/>
        <c:title>
          <c:tx>
            <c:rich>
              <a:bodyPr rot="0" vert="horz"/>
              <a:lstStyle/>
              <a:p>
                <a:pPr>
                  <a:defRPr/>
                </a:pPr>
                <a:r>
                  <a:rPr lang="en-GB" i="1"/>
                  <a:t>T</a:t>
                </a:r>
                <a:r>
                  <a:rPr lang="en-GB" baseline="-25000"/>
                  <a:t>L</a:t>
                </a:r>
                <a:r>
                  <a:rPr lang="en-GB"/>
                  <a:t> (</a:t>
                </a:r>
                <a:r>
                  <a:rPr lang="en-GB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°</a:t>
                </a:r>
                <a:r>
                  <a:rPr lang="en-GB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in"/>
        <c:minorTickMark val="none"/>
        <c:tickLblPos val="nextTo"/>
        <c:spPr>
          <a:noFill/>
          <a:ln w="889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40978816"/>
        <c:crosses val="autoZero"/>
        <c:crossBetween val="midCat"/>
        <c:majorUnit val="10"/>
      </c:valAx>
      <c:valAx>
        <c:axId val="14097881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en-GB" i="1"/>
                  <a:t>R</a:t>
                </a:r>
                <a:r>
                  <a:rPr lang="en-GB" baseline="-25000"/>
                  <a:t>dk</a:t>
                </a:r>
                <a:r>
                  <a:rPr lang="en-GB"/>
                  <a:t> (</a:t>
                </a:r>
                <a:r>
                  <a:rPr lang="el-GR"/>
                  <a:t>μ</a:t>
                </a:r>
                <a:r>
                  <a:rPr lang="en-US"/>
                  <a:t>mol m</a:t>
                </a:r>
                <a:r>
                  <a:rPr lang="en-US" baseline="30000"/>
                  <a:t>-2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GB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in"/>
        <c:minorTickMark val="none"/>
        <c:tickLblPos val="nextTo"/>
        <c:spPr>
          <a:noFill/>
          <a:ln w="8890" cap="flat" cmpd="sng" algn="ctr">
            <a:solidFill>
              <a:schemeClr val="tx1"/>
            </a:solidFill>
            <a:round/>
          </a:ln>
          <a:effectLst/>
        </c:spPr>
        <c:txPr>
          <a:bodyPr rot="-60000000" vert="horz"/>
          <a:lstStyle/>
          <a:p>
            <a:pPr>
              <a:defRPr/>
            </a:pPr>
            <a:endParaRPr lang="it-IT"/>
          </a:p>
        </c:txPr>
        <c:crossAx val="140976896"/>
        <c:crosses val="autoZero"/>
        <c:crossBetween val="midCat"/>
        <c:majorUnit val="1"/>
      </c:valAx>
      <c:spPr>
        <a:noFill/>
        <a:ln w="8890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 b="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it-IT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spc="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r>
              <a:rPr lang="en-GB"/>
              <a:t>(</a:t>
            </a:r>
            <a:r>
              <a:rPr lang="en-GB" b="1"/>
              <a:t>d</a:t>
            </a:r>
            <a:r>
              <a:rPr lang="en-GB"/>
              <a:t>)</a:t>
            </a:r>
          </a:p>
        </c:rich>
      </c:tx>
      <c:layout>
        <c:manualLayout>
          <c:xMode val="edge"/>
          <c:yMode val="edge"/>
          <c:x val="0.21751695040325031"/>
          <c:y val="4.9396310024610639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16563317677903269"/>
          <c:y val="4.8386880190402548E-2"/>
          <c:w val="0.7746809157124378"/>
          <c:h val="0.75983210125785139"/>
        </c:manualLayout>
      </c:layout>
      <c:scatterChart>
        <c:scatterStyle val="lineMarker"/>
        <c:varyColors val="0"/>
        <c:ser>
          <c:idx val="0"/>
          <c:order val="0"/>
          <c:tx>
            <c:v>L1</c:v>
          </c:tx>
          <c:spPr>
            <a:ln w="28575" cap="rnd">
              <a:noFill/>
              <a:round/>
            </a:ln>
            <a:effectLst/>
          </c:spPr>
          <c:marker>
            <c:symbol val="circle"/>
            <c:size val="8"/>
            <c:spPr>
              <a:noFill/>
              <a:ln w="9525">
                <a:solidFill>
                  <a:schemeClr val="tx1"/>
                </a:solidFill>
              </a:ln>
              <a:effectLst/>
            </c:spPr>
          </c:marker>
          <c:errBars>
            <c:errDir val="x"/>
            <c:errBarType val="both"/>
            <c:errValType val="cust"/>
            <c:noEndCap val="0"/>
            <c:plus>
              <c:numRef>
                <c:f>AGMAX!$AX$11:$AX$16</c:f>
                <c:numCache>
                  <c:formatCode>General</c:formatCode>
                  <c:ptCount val="6"/>
                  <c:pt idx="0">
                    <c:v>4.6188021534706004E-2</c:v>
                  </c:pt>
                  <c:pt idx="1">
                    <c:v>4.3703651823864889E-2</c:v>
                  </c:pt>
                  <c:pt idx="2">
                    <c:v>1.3208784676737936E-2</c:v>
                  </c:pt>
                  <c:pt idx="3">
                    <c:v>5.3267866155916291E-2</c:v>
                  </c:pt>
                  <c:pt idx="4">
                    <c:v>4.1989110486088915E-2</c:v>
                  </c:pt>
                  <c:pt idx="5">
                    <c:v>0.21315764115228661</c:v>
                  </c:pt>
                </c:numCache>
              </c:numRef>
            </c:plus>
            <c:minus>
              <c:numRef>
                <c:f>AGMAX!$AX$11:$AX$16</c:f>
                <c:numCache>
                  <c:formatCode>General</c:formatCode>
                  <c:ptCount val="6"/>
                  <c:pt idx="0">
                    <c:v>4.6188021534706004E-2</c:v>
                  </c:pt>
                  <c:pt idx="1">
                    <c:v>4.3703651823864889E-2</c:v>
                  </c:pt>
                  <c:pt idx="2">
                    <c:v>1.3208784676737936E-2</c:v>
                  </c:pt>
                  <c:pt idx="3">
                    <c:v>5.3267866155916291E-2</c:v>
                  </c:pt>
                  <c:pt idx="4">
                    <c:v>4.1989110486088915E-2</c:v>
                  </c:pt>
                  <c:pt idx="5">
                    <c:v>0.21315764115228661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errBars>
            <c:errDir val="y"/>
            <c:errBarType val="both"/>
            <c:errValType val="cust"/>
            <c:noEndCap val="0"/>
            <c:plus>
              <c:numRef>
                <c:f>AGMAX!$AT$11:$AT$16</c:f>
                <c:numCache>
                  <c:formatCode>General</c:formatCode>
                  <c:ptCount val="6"/>
                  <c:pt idx="0">
                    <c:v>3.0453198857613724</c:v>
                  </c:pt>
                  <c:pt idx="1">
                    <c:v>3.0322597166935634</c:v>
                  </c:pt>
                  <c:pt idx="2">
                    <c:v>2.876288208133948</c:v>
                  </c:pt>
                  <c:pt idx="3">
                    <c:v>2.6653286764819595</c:v>
                  </c:pt>
                  <c:pt idx="4">
                    <c:v>2.7639883541585348</c:v>
                  </c:pt>
                  <c:pt idx="5">
                    <c:v>2.2363578870560206</c:v>
                  </c:pt>
                </c:numCache>
              </c:numRef>
            </c:plus>
            <c:minus>
              <c:numRef>
                <c:f>AGMAX!$AT$11:$AT$16</c:f>
                <c:numCache>
                  <c:formatCode>General</c:formatCode>
                  <c:ptCount val="6"/>
                  <c:pt idx="0">
                    <c:v>3.0453198857613724</c:v>
                  </c:pt>
                  <c:pt idx="1">
                    <c:v>3.0322597166935634</c:v>
                  </c:pt>
                  <c:pt idx="2">
                    <c:v>2.876288208133948</c:v>
                  </c:pt>
                  <c:pt idx="3">
                    <c:v>2.6653286764819595</c:v>
                  </c:pt>
                  <c:pt idx="4">
                    <c:v>2.7639883541585348</c:v>
                  </c:pt>
                  <c:pt idx="5">
                    <c:v>2.2363578870560206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xVal>
            <c:numRef>
              <c:f>AGMAX!$AU$11:$AU$16</c:f>
              <c:numCache>
                <c:formatCode>0.00</c:formatCode>
                <c:ptCount val="6"/>
                <c:pt idx="0">
                  <c:v>14.960000000000003</c:v>
                </c:pt>
                <c:pt idx="1">
                  <c:v>20.012121212121212</c:v>
                </c:pt>
                <c:pt idx="2">
                  <c:v>25.033333333333335</c:v>
                </c:pt>
                <c:pt idx="3">
                  <c:v>29.972727272727273</c:v>
                </c:pt>
                <c:pt idx="4">
                  <c:v>35.045454545454554</c:v>
                </c:pt>
                <c:pt idx="5">
                  <c:v>39.778787878787881</c:v>
                </c:pt>
              </c:numCache>
            </c:numRef>
          </c:xVal>
          <c:yVal>
            <c:numRef>
              <c:f>AGMAX!$AQ$11:$AQ$16</c:f>
              <c:numCache>
                <c:formatCode>0.00</c:formatCode>
                <c:ptCount val="6"/>
                <c:pt idx="0">
                  <c:v>23.837589621320955</c:v>
                </c:pt>
                <c:pt idx="1">
                  <c:v>27.514079892588981</c:v>
                </c:pt>
                <c:pt idx="2">
                  <c:v>30.555457953651821</c:v>
                </c:pt>
                <c:pt idx="3">
                  <c:v>30.967886586249445</c:v>
                </c:pt>
                <c:pt idx="4">
                  <c:v>30.530875122982049</c:v>
                </c:pt>
                <c:pt idx="5">
                  <c:v>28.151283502831678</c:v>
                </c:pt>
              </c:numCache>
            </c:numRef>
          </c:y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8F94-43DA-86E3-55B5E47F1B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41012992"/>
        <c:axId val="141014912"/>
      </c:scatterChart>
      <c:valAx>
        <c:axId val="141012992"/>
        <c:scaling>
          <c:orientation val="minMax"/>
          <c:max val="51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 i="1"/>
                  <a:t>T</a:t>
                </a:r>
                <a:r>
                  <a:rPr lang="en-GB" baseline="-25000"/>
                  <a:t>L</a:t>
                </a:r>
                <a:r>
                  <a:rPr lang="en-GB"/>
                  <a:t> (</a:t>
                </a:r>
                <a:r>
                  <a:rPr lang="en-GB" baseline="300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°</a:t>
                </a:r>
                <a:r>
                  <a:rPr lang="en-GB"/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in"/>
        <c:minorTickMark val="none"/>
        <c:tickLblPos val="nextTo"/>
        <c:spPr>
          <a:noFill/>
          <a:ln w="889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141014912"/>
        <c:crosses val="autoZero"/>
        <c:crossBetween val="midCat"/>
        <c:majorUnit val="10"/>
      </c:valAx>
      <c:valAx>
        <c:axId val="14101491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GB" i="1"/>
                  <a:t>A</a:t>
                </a:r>
                <a:r>
                  <a:rPr lang="en-GB" baseline="-25000"/>
                  <a:t>max</a:t>
                </a:r>
                <a:r>
                  <a:rPr lang="en-GB"/>
                  <a:t> (</a:t>
                </a:r>
                <a:r>
                  <a:rPr lang="el-GR"/>
                  <a:t>μ</a:t>
                </a:r>
                <a:r>
                  <a:rPr lang="en-US"/>
                  <a:t>mol m</a:t>
                </a:r>
                <a:r>
                  <a:rPr lang="en-US" baseline="30000"/>
                  <a:t>-2</a:t>
                </a:r>
                <a:r>
                  <a:rPr lang="en-US"/>
                  <a:t> s</a:t>
                </a:r>
                <a:r>
                  <a:rPr lang="en-US" baseline="30000"/>
                  <a:t>-1</a:t>
                </a:r>
                <a:r>
                  <a:rPr lang="en-GB"/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0" sourceLinked="0"/>
        <c:majorTickMark val="in"/>
        <c:minorTickMark val="none"/>
        <c:tickLblPos val="nextTo"/>
        <c:spPr>
          <a:noFill/>
          <a:ln w="889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it-IT"/>
          </a:p>
        </c:txPr>
        <c:crossAx val="141012992"/>
        <c:crosses val="autoZero"/>
        <c:crossBetween val="midCat"/>
        <c:majorUnit val="10"/>
      </c:valAx>
      <c:spPr>
        <a:noFill/>
        <a:ln w="8890">
          <a:solidFill>
            <a:schemeClr val="tx1"/>
          </a:solidFill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1000">
          <a:solidFill>
            <a:sysClr val="windowText" lastClr="000000"/>
          </a:solidFill>
          <a:latin typeface="Times New Roman" panose="02020603050405020304" pitchFamily="18" charset="0"/>
          <a:cs typeface="Times New Roman" panose="02020603050405020304" pitchFamily="18" charset="0"/>
        </a:defRPr>
      </a:pPr>
      <a:endParaRPr lang="it-IT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Cattolica del Sacro Cuore - Piacenza</Company>
  <LinksUpToDate>false</LinksUpToDate>
  <CharactersWithSpaces>2479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Amaducci Stefano</dc:creator>
  <cp:lastModifiedBy>Amaducci Stefano</cp:lastModifiedBy>
  <cp:revision>2</cp:revision>
  <dcterms:created xsi:type="dcterms:W3CDTF">2017-04-27T09:51:00Z</dcterms:created>
  <dcterms:modified xsi:type="dcterms:W3CDTF">2017-04-27T09:56:00Z</dcterms:modified>
</cp:coreProperties>
</file>